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6D149" w14:textId="0F358CB6" w:rsidR="004756DC" w:rsidRDefault="00E56313" w:rsidP="004756DC">
      <w:pPr>
        <w:rPr>
          <w:rFonts w:ascii="Ebrima" w:hAnsi="Ebrima" w:cs="Times New Roman"/>
          <w:b/>
          <w:bCs/>
          <w:sz w:val="26"/>
          <w:szCs w:val="26"/>
        </w:rPr>
      </w:pPr>
      <w:r w:rsidRPr="00E56313">
        <w:rPr>
          <w:rFonts w:ascii="Ebrima" w:hAnsi="Ebrima" w:cs="Times New Roman"/>
          <w:b/>
          <w:bCs/>
          <w:sz w:val="26"/>
          <w:szCs w:val="26"/>
        </w:rPr>
        <w:t>FACTORS RESPONSIBLE FOR GREEN PRODUCTS BUYING INTENT AMONG SELECTED TERTIARY STUDENTS IN GOMBE STATE</w:t>
      </w:r>
    </w:p>
    <w:p w14:paraId="21645B68" w14:textId="77777777" w:rsidR="00E56313" w:rsidRPr="004756DC" w:rsidRDefault="00E56313" w:rsidP="00E56313">
      <w:pPr>
        <w:jc w:val="center"/>
        <w:rPr>
          <w:rFonts w:cs="Times New Roman"/>
          <w:b/>
          <w:bCs/>
          <w:sz w:val="22"/>
          <w:szCs w:val="22"/>
        </w:rPr>
      </w:pPr>
    </w:p>
    <w:p w14:paraId="478C51F6" w14:textId="18B7BF9D" w:rsidR="00E56313" w:rsidRPr="00E56313" w:rsidRDefault="00E56313" w:rsidP="00E56313">
      <w:pPr>
        <w:jc w:val="center"/>
        <w:rPr>
          <w:rFonts w:cs="Times New Roman"/>
          <w:b/>
          <w:bCs/>
          <w:sz w:val="23"/>
          <w:szCs w:val="23"/>
        </w:rPr>
      </w:pPr>
      <w:r>
        <w:rPr>
          <w:rFonts w:cs="Times New Roman"/>
          <w:b/>
          <w:bCs/>
          <w:sz w:val="23"/>
          <w:szCs w:val="23"/>
        </w:rPr>
        <w:t>Tijjani Zainab</w:t>
      </w:r>
    </w:p>
    <w:p w14:paraId="1293854C" w14:textId="77777777" w:rsidR="00E56313" w:rsidRPr="00E56313" w:rsidRDefault="00E56313" w:rsidP="00E56313">
      <w:pPr>
        <w:jc w:val="center"/>
        <w:rPr>
          <w:rFonts w:cs="Times New Roman"/>
          <w:bCs/>
          <w:sz w:val="23"/>
          <w:szCs w:val="23"/>
        </w:rPr>
      </w:pPr>
      <w:r w:rsidRPr="00E56313">
        <w:rPr>
          <w:rFonts w:cs="Times New Roman"/>
          <w:bCs/>
          <w:sz w:val="23"/>
          <w:szCs w:val="23"/>
        </w:rPr>
        <w:t>Department of Business Administration, Gombe State University, Gombe, Nigeria.</w:t>
      </w:r>
    </w:p>
    <w:p w14:paraId="406D7725" w14:textId="77777777" w:rsidR="00E56313" w:rsidRPr="00E56313" w:rsidRDefault="00E56313" w:rsidP="00E56313">
      <w:pPr>
        <w:jc w:val="center"/>
        <w:rPr>
          <w:rFonts w:cs="Times New Roman"/>
          <w:bCs/>
          <w:sz w:val="23"/>
          <w:szCs w:val="23"/>
        </w:rPr>
      </w:pPr>
      <w:r w:rsidRPr="00E56313">
        <w:rPr>
          <w:rFonts w:cs="Times New Roman"/>
          <w:bCs/>
          <w:sz w:val="23"/>
          <w:szCs w:val="23"/>
        </w:rPr>
        <w:t xml:space="preserve">Email address: </w:t>
      </w:r>
      <w:hyperlink r:id="rId7" w:history="1">
        <w:r w:rsidRPr="00E56313">
          <w:rPr>
            <w:rStyle w:val="Hyperlink"/>
            <w:rFonts w:cs="Times New Roman"/>
            <w:bCs/>
            <w:sz w:val="23"/>
            <w:szCs w:val="23"/>
          </w:rPr>
          <w:t>tijjanizainab@gsu.edu.ng</w:t>
        </w:r>
      </w:hyperlink>
    </w:p>
    <w:p w14:paraId="10903BD5" w14:textId="77777777" w:rsidR="00E56313" w:rsidRPr="00E56313" w:rsidRDefault="00E56313" w:rsidP="00E56313">
      <w:pPr>
        <w:spacing w:after="0"/>
        <w:jc w:val="center"/>
        <w:rPr>
          <w:b/>
        </w:rPr>
      </w:pPr>
      <w:r w:rsidRPr="00E56313">
        <w:rPr>
          <w:b/>
        </w:rPr>
        <w:t>Umar Abdullahi Maiauduga &amp; Bogoro Patrick</w:t>
      </w:r>
    </w:p>
    <w:p w14:paraId="24C6394E" w14:textId="77777777" w:rsidR="00E56313" w:rsidRPr="00E56313" w:rsidRDefault="00E56313" w:rsidP="00E56313">
      <w:pPr>
        <w:jc w:val="center"/>
        <w:rPr>
          <w:rFonts w:cs="Times New Roman"/>
          <w:bCs/>
          <w:sz w:val="22"/>
          <w:szCs w:val="22"/>
        </w:rPr>
      </w:pPr>
      <w:r w:rsidRPr="00E56313">
        <w:rPr>
          <w:rFonts w:cs="Times New Roman"/>
          <w:bCs/>
          <w:sz w:val="22"/>
          <w:szCs w:val="22"/>
        </w:rPr>
        <w:t>Department of Management and Information Technology, Abubakar TafawaBalewa University, Bauchi, Nigeria.</w:t>
      </w:r>
    </w:p>
    <w:p w14:paraId="63911E0E" w14:textId="77777777" w:rsidR="00E56313" w:rsidRPr="00E56313" w:rsidRDefault="00E56313" w:rsidP="00E56313">
      <w:pPr>
        <w:jc w:val="center"/>
        <w:rPr>
          <w:rFonts w:cs="Times New Roman"/>
          <w:bCs/>
          <w:sz w:val="22"/>
          <w:szCs w:val="22"/>
        </w:rPr>
      </w:pPr>
      <w:r w:rsidRPr="00E56313">
        <w:rPr>
          <w:rFonts w:cs="Times New Roman"/>
          <w:bCs/>
          <w:sz w:val="22"/>
          <w:szCs w:val="22"/>
        </w:rPr>
        <w:t xml:space="preserve">Email address: </w:t>
      </w:r>
      <w:hyperlink r:id="rId8" w:history="1">
        <w:r w:rsidRPr="00E56313">
          <w:rPr>
            <w:rStyle w:val="Hyperlink"/>
            <w:rFonts w:cs="Times New Roman"/>
            <w:bCs/>
            <w:sz w:val="22"/>
            <w:szCs w:val="22"/>
          </w:rPr>
          <w:t>umaiauduga@gmail.com</w:t>
        </w:r>
      </w:hyperlink>
      <w:r w:rsidRPr="00E56313">
        <w:rPr>
          <w:rFonts w:cs="Times New Roman"/>
          <w:bCs/>
          <w:sz w:val="22"/>
          <w:szCs w:val="22"/>
        </w:rPr>
        <w:t xml:space="preserve"> &amp; </w:t>
      </w:r>
      <w:hyperlink r:id="rId9" w:history="1">
        <w:r w:rsidRPr="00E56313">
          <w:rPr>
            <w:rStyle w:val="Hyperlink"/>
            <w:rFonts w:cs="Times New Roman"/>
            <w:bCs/>
            <w:sz w:val="22"/>
            <w:szCs w:val="22"/>
          </w:rPr>
          <w:t>pbogoro@atbu.edu.ng</w:t>
        </w:r>
      </w:hyperlink>
    </w:p>
    <w:p w14:paraId="4F4877B5" w14:textId="77777777" w:rsidR="004756DC" w:rsidRPr="004756DC" w:rsidRDefault="004756DC" w:rsidP="00E56313">
      <w:pPr>
        <w:jc w:val="center"/>
        <w:rPr>
          <w:rFonts w:cs="Times New Roman"/>
          <w:bCs/>
          <w:sz w:val="22"/>
          <w:szCs w:val="22"/>
        </w:rPr>
      </w:pPr>
    </w:p>
    <w:p w14:paraId="2A25477A" w14:textId="77777777" w:rsidR="004756DC" w:rsidRDefault="004756DC" w:rsidP="004756DC">
      <w:pPr>
        <w:rPr>
          <w:rFonts w:cs="Times New Roman"/>
          <w:b/>
          <w:bCs/>
          <w:sz w:val="22"/>
          <w:szCs w:val="22"/>
        </w:rPr>
      </w:pPr>
      <w:r w:rsidRPr="004756DC">
        <w:rPr>
          <w:rFonts w:cs="Times New Roman"/>
          <w:b/>
          <w:bCs/>
          <w:sz w:val="22"/>
          <w:szCs w:val="22"/>
        </w:rPr>
        <w:t>Abstract</w:t>
      </w:r>
    </w:p>
    <w:p w14:paraId="7333DC4C" w14:textId="1BF395A0" w:rsidR="004756DC" w:rsidRDefault="00E56313" w:rsidP="004756DC">
      <w:pPr>
        <w:pBdr>
          <w:top w:val="single" w:sz="12" w:space="1" w:color="auto"/>
          <w:bottom w:val="single" w:sz="12" w:space="1" w:color="auto"/>
        </w:pBdr>
        <w:rPr>
          <w:rFonts w:cs="Times New Roman"/>
          <w:bCs/>
          <w:i/>
          <w:iCs/>
          <w:sz w:val="22"/>
          <w:szCs w:val="22"/>
        </w:rPr>
      </w:pPr>
      <w:r w:rsidRPr="00E56313">
        <w:rPr>
          <w:rFonts w:cs="Times New Roman"/>
          <w:bCs/>
          <w:i/>
          <w:iCs/>
          <w:sz w:val="22"/>
          <w:szCs w:val="22"/>
        </w:rPr>
        <w:t>Green products are in high demand among consumers, and businesses are eager to expand into green areas, but the level of growth in the market for ecologically friendly goods is still inadequate. The major goal of this investigation was to examine components driving environmentally friendly purchasing intent among selected tertiary students in Gombe State, Nigeria. The study employed a survey research approach with 396 sample obtained from the study population (38155) via Taro Yamane (967) sample size determination formula. Data obtained via five (5) points Likert-Scale questionnaire was analyzed using multiple regression via SPSS software version 23.0. The outcomes of the study show that all the three components namely, attitude, the subjective norm and willingness to pay have a beneficial and substantial effect on environmentally friendly buying intention. This study concluded that attitude, subjective norm, and willingness to pay beneficially and substantially affect environmentally friendly buying intention of selected tertiary students in Gombe State and therefore recommends among others that managers and other stakeholders in the green products business should focus on the influence of consumers’ attitudes, subjective norm and readiness to pay in order to gain more patronage from the consumer because the three factors affects consumers purchase intentions</w:t>
      </w:r>
      <w:r w:rsidR="004756DC" w:rsidRPr="004756DC">
        <w:rPr>
          <w:rFonts w:cs="Times New Roman"/>
          <w:bCs/>
          <w:i/>
          <w:iCs/>
          <w:sz w:val="22"/>
          <w:szCs w:val="22"/>
        </w:rPr>
        <w:t>.</w:t>
      </w:r>
    </w:p>
    <w:p w14:paraId="27974CAB" w14:textId="3068A746" w:rsidR="004756DC" w:rsidRPr="004756DC" w:rsidRDefault="004756DC" w:rsidP="004756DC">
      <w:pPr>
        <w:rPr>
          <w:rFonts w:cs="Times New Roman"/>
          <w:bCs/>
          <w:sz w:val="22"/>
          <w:szCs w:val="22"/>
        </w:rPr>
      </w:pPr>
      <w:r w:rsidRPr="004756DC">
        <w:rPr>
          <w:rFonts w:cs="Times New Roman"/>
          <w:b/>
          <w:bCs/>
          <w:sz w:val="22"/>
          <w:szCs w:val="22"/>
        </w:rPr>
        <w:t xml:space="preserve">Keywords: </w:t>
      </w:r>
      <w:r w:rsidR="00E56313" w:rsidRPr="00E56313">
        <w:rPr>
          <w:rFonts w:cs="Times New Roman"/>
          <w:bCs/>
          <w:sz w:val="22"/>
          <w:szCs w:val="22"/>
        </w:rPr>
        <w:t>Green Product, Subjective Norms, Attitude, Willingness to Pay, Green Purchase Intention</w:t>
      </w:r>
      <w:r w:rsidRPr="004756DC">
        <w:rPr>
          <w:rFonts w:cs="Times New Roman"/>
          <w:bCs/>
          <w:sz w:val="22"/>
          <w:szCs w:val="22"/>
        </w:rPr>
        <w:t>.</w:t>
      </w:r>
    </w:p>
    <w:p w14:paraId="7264F5BD" w14:textId="77777777" w:rsidR="004756DC" w:rsidRPr="004756DC" w:rsidRDefault="004756DC" w:rsidP="004756DC">
      <w:pPr>
        <w:rPr>
          <w:rFonts w:cs="Times New Roman"/>
          <w:b/>
          <w:bCs/>
          <w:sz w:val="22"/>
          <w:szCs w:val="22"/>
        </w:rPr>
      </w:pPr>
      <w:r w:rsidRPr="004756DC">
        <w:rPr>
          <w:rFonts w:cs="Times New Roman"/>
          <w:b/>
          <w:bCs/>
          <w:sz w:val="22"/>
          <w:szCs w:val="22"/>
        </w:rPr>
        <w:t xml:space="preserve">1. Introduction </w:t>
      </w:r>
    </w:p>
    <w:p w14:paraId="26095831" w14:textId="77777777" w:rsidR="00E56313" w:rsidRPr="00E56313" w:rsidRDefault="00E56313" w:rsidP="00E56313">
      <w:pPr>
        <w:rPr>
          <w:rFonts w:cs="Times New Roman"/>
          <w:bCs/>
          <w:sz w:val="22"/>
          <w:szCs w:val="22"/>
        </w:rPr>
      </w:pPr>
      <w:r w:rsidRPr="00E56313">
        <w:rPr>
          <w:rFonts w:cs="Times New Roman"/>
          <w:bCs/>
          <w:sz w:val="22"/>
          <w:szCs w:val="22"/>
        </w:rPr>
        <w:t xml:space="preserve">Economic development and technological advancements offer convenience but also cause environmental problems such as contamination of the air and water, noise contamination, and climate change. According to Zhaung et al. (2021), these challenges affect economic development, societal development, and environmental development. These challenges have led to the creation of awareness among people worldwide. Kong et al. (2014) opine that environmentally conscious consumers (ECC) are changing their lifestyles and values. In their opinion, green consumers are increasingly consuming green products, recognizing the </w:t>
      </w:r>
      <w:r w:rsidRPr="00E56313">
        <w:rPr>
          <w:rFonts w:cs="Times New Roman"/>
          <w:bCs/>
          <w:sz w:val="22"/>
          <w:szCs w:val="22"/>
        </w:rPr>
        <w:lastRenderedPageBreak/>
        <w:t xml:space="preserve">ecological impact of their buying behavior. Environmental safety through the use of less harmful materials, less pollution, and conservation of energy and resources are some of the reasons for ecologically friendly goods (Ottman et al., 2006). Ecologically friendly goods are considered to be safe to the environment compared to the traditional products since they are recyclable, renewable, and reusable (Dangelico &amp; Pontrandolfo, 2010). In addition to lowering environmental risk, green products have raised both consumer and societal living standards. A green product, according to Shamdasani et al. (1993), is one that avoids having a bad impact on the environment while still meeting customer requirements and helping to create a more sustainable world. Green product is commendable for its outstanding environmental performance in terms of using inputs that are reliable, compostable, and use of simple packaging (Liang, 2024). The global green product The economy has witnessed tremendous growth, driven by rising environmental concerns. and a shift in consumers’ preferences toward eco-friendly and sustainable products.  The sector is forecast to increase at a compound annual growth rate (CAGR) of 10.2% between 2023 and 2027, with Asia-Pacific witnessing the highest growth (Reportlinker, 2024). Renewable energy equipment, organic food and beverages, sustainable transportation solutions, green building materials, eco-friendly packaging, etc. are the categories of the green product market.  Globally, the government provides regulations and incentives to ensure green product market growth. The Nigerian government's implementation of strict and attractive incentives to promote green products and sustainable practices has impacted the green products sector (Reportlinker, 2024). In Zhaung et al. (2021) opinion, Green products are in high demand among consumers, and businesses are eager to expand into green areas, but the level of growth in the market for ecologically friendly goods is still inadequate. Only 30% of consumers in the UK were concerned about their environmental challenges and ready to translate their buying lifestyle (Young et al., 2010). But the growing awareness and concerns among Nigerians about environmental issues and the need for sustainable products have a medium impact on the green product market sector (Reportlinker, 2024). Therefore, there is a need to know the components responsible for the eco-friendly buying intent within Nigerian consumers in order to help both enterprises and consumers in their decision-making. </w:t>
      </w:r>
    </w:p>
    <w:p w14:paraId="4F891AF4" w14:textId="77777777" w:rsidR="00E56313" w:rsidRPr="00E56313" w:rsidRDefault="00E56313" w:rsidP="00E56313">
      <w:pPr>
        <w:rPr>
          <w:rFonts w:cs="Times New Roman"/>
          <w:bCs/>
          <w:sz w:val="22"/>
          <w:szCs w:val="22"/>
        </w:rPr>
      </w:pPr>
      <w:r w:rsidRPr="00E56313">
        <w:rPr>
          <w:rFonts w:cs="Times New Roman"/>
          <w:bCs/>
          <w:sz w:val="22"/>
          <w:szCs w:val="22"/>
        </w:rPr>
        <w:t xml:space="preserve">Eco-friendly buying desire is the likelihood that a consumer will buy a particular goods or services based on their ecological requirements. Ecological buying intent involves consumers’ willfulness to patronize eco-friendly goods or services, thereby functioning as incentives that heavily impact ecological buying intent (Ramayah </w:t>
      </w:r>
      <w:r w:rsidRPr="00E56313">
        <w:rPr>
          <w:rFonts w:cs="Times New Roman"/>
          <w:bCs/>
          <w:i/>
          <w:sz w:val="22"/>
          <w:szCs w:val="22"/>
        </w:rPr>
        <w:t>et al.,</w:t>
      </w:r>
      <w:r w:rsidRPr="00E56313">
        <w:rPr>
          <w:rFonts w:cs="Times New Roman"/>
          <w:bCs/>
          <w:sz w:val="22"/>
          <w:szCs w:val="22"/>
        </w:rPr>
        <w:t xml:space="preserve"> 2010). This goal reflects an active posture toward making ecologically responsible decisions, portraying consumers’ willingness to align with their consumption patterns with sustainability goals. Green purchasing intention is an advanced type of moral judgment that offers a concreate statement of socially responsible action. Green consumers think about how their decisions will affect their society as a whole, going beyond the boundaries of personal consumption. These people, according to Moisander (2007), use their purchasing power to impact changes in society, expressing the core ecological consciousness of consumerism. The transition toward ecologically conscious buying habits is evidence of an increasing understanding and dedication among consumers to make positive contributions to ecological preservation and equitable growth (Liang, 2024). </w:t>
      </w:r>
    </w:p>
    <w:p w14:paraId="59DBE399" w14:textId="77777777" w:rsidR="00E56313" w:rsidRPr="00E56313" w:rsidRDefault="00E56313" w:rsidP="00E56313">
      <w:pPr>
        <w:rPr>
          <w:rFonts w:cs="Times New Roman"/>
          <w:bCs/>
          <w:sz w:val="22"/>
          <w:szCs w:val="22"/>
        </w:rPr>
      </w:pPr>
      <w:r w:rsidRPr="00E56313">
        <w:rPr>
          <w:rFonts w:cs="Times New Roman"/>
          <w:bCs/>
          <w:sz w:val="22"/>
          <w:szCs w:val="22"/>
        </w:rPr>
        <w:t xml:space="preserve">Although several studies have been conducted by scholars in different locations (Sun, &amp; Wang, 2019; Sreen et al., 2018; Gil, &amp; Jacob, 2018; Konuk et al., 2015; Hashim et al., 2020; Wang et </w:t>
      </w:r>
      <w:r w:rsidRPr="00E56313">
        <w:rPr>
          <w:rFonts w:cs="Times New Roman"/>
          <w:bCs/>
          <w:sz w:val="22"/>
          <w:szCs w:val="22"/>
        </w:rPr>
        <w:lastRenderedPageBreak/>
        <w:t>al., 2020; Lam et al. 2016; Bong-Ko &amp; Jin, 2017) on the components affecting eco-friendly buying intent but most of the studies used different measurement variables which include, attitude, ecological know-how, personal standard, eco-label, environmental concern, green societal worth, ecological believed danger, environmental control, ecological perceived confidence, ecological believed quality, eco-friendly believed lifestyle behavioral control, perceived consumer effectiveness, believed ethical responsibility, and readiness to pay to measure consumer buying intent. Similarly, generalizing findings from previous studies is difficult because of individual location peculiarities. This study examined components affecting eco-friendly goods or services buying intent within selected tertiary students in Gombe State using attitude, the subjective norms, and willingness to pay as proxies. The study presents valuable opinions that can help marketing campaigns that promote a more eco-conscious and sustainable lifestyle. </w:t>
      </w:r>
    </w:p>
    <w:p w14:paraId="63B74011" w14:textId="77777777" w:rsidR="00E56313" w:rsidRPr="00E56313" w:rsidRDefault="00E56313" w:rsidP="00E56313">
      <w:pPr>
        <w:numPr>
          <w:ilvl w:val="1"/>
          <w:numId w:val="23"/>
        </w:numPr>
        <w:rPr>
          <w:rFonts w:cs="Times New Roman"/>
          <w:b/>
          <w:bCs/>
          <w:sz w:val="22"/>
          <w:szCs w:val="22"/>
        </w:rPr>
      </w:pPr>
      <w:r w:rsidRPr="00E56313">
        <w:rPr>
          <w:rFonts w:cs="Times New Roman"/>
          <w:b/>
          <w:bCs/>
          <w:sz w:val="22"/>
          <w:szCs w:val="22"/>
        </w:rPr>
        <w:t xml:space="preserve">The aims of the Study </w:t>
      </w:r>
    </w:p>
    <w:p w14:paraId="0821C411" w14:textId="77777777" w:rsidR="00E56313" w:rsidRPr="00E56313" w:rsidRDefault="00E56313" w:rsidP="00E56313">
      <w:pPr>
        <w:rPr>
          <w:rFonts w:cs="Times New Roman"/>
          <w:bCs/>
          <w:sz w:val="22"/>
          <w:szCs w:val="22"/>
        </w:rPr>
      </w:pPr>
      <w:r w:rsidRPr="00E56313">
        <w:rPr>
          <w:rFonts w:cs="Times New Roman"/>
          <w:bCs/>
          <w:sz w:val="22"/>
          <w:szCs w:val="22"/>
        </w:rPr>
        <w:t xml:space="preserve">This study aimed to explore components affecting eco-friendly goods or services buying intent within selected tertiary students in Gombe State, using attitude, the subjective norms, and willingness to pay as proxies to understand the impact on their eco-friendly goods or services buying intent. </w:t>
      </w:r>
    </w:p>
    <w:p w14:paraId="126B6545" w14:textId="77777777" w:rsidR="00E56313" w:rsidRPr="00E56313" w:rsidRDefault="00E56313" w:rsidP="00E56313">
      <w:pPr>
        <w:rPr>
          <w:rFonts w:cs="Times New Roman"/>
          <w:b/>
          <w:bCs/>
          <w:sz w:val="22"/>
          <w:szCs w:val="22"/>
        </w:rPr>
      </w:pPr>
      <w:r w:rsidRPr="00E56313">
        <w:rPr>
          <w:rFonts w:cs="Times New Roman"/>
          <w:b/>
          <w:bCs/>
          <w:sz w:val="22"/>
          <w:szCs w:val="22"/>
        </w:rPr>
        <w:t>1.3 Hypotheses of the Study</w:t>
      </w:r>
    </w:p>
    <w:p w14:paraId="3D18B82C" w14:textId="77777777" w:rsidR="00E56313" w:rsidRPr="00E56313" w:rsidRDefault="00E56313" w:rsidP="00E56313">
      <w:pPr>
        <w:rPr>
          <w:rFonts w:cs="Times New Roman"/>
          <w:bCs/>
          <w:sz w:val="22"/>
          <w:szCs w:val="22"/>
        </w:rPr>
      </w:pPr>
      <w:r w:rsidRPr="00E56313">
        <w:rPr>
          <w:rFonts w:cs="Times New Roman"/>
          <w:bCs/>
          <w:sz w:val="22"/>
          <w:szCs w:val="22"/>
        </w:rPr>
        <w:t>H</w:t>
      </w:r>
      <w:r w:rsidRPr="00E56313">
        <w:rPr>
          <w:rFonts w:cs="Times New Roman"/>
          <w:bCs/>
          <w:sz w:val="22"/>
          <w:szCs w:val="22"/>
          <w:vertAlign w:val="subscript"/>
        </w:rPr>
        <w:t>01</w:t>
      </w:r>
      <w:r w:rsidRPr="00E56313">
        <w:rPr>
          <w:rFonts w:cs="Times New Roman"/>
          <w:bCs/>
          <w:sz w:val="22"/>
          <w:szCs w:val="22"/>
        </w:rPr>
        <w:t xml:space="preserve">: </w:t>
      </w:r>
      <w:r w:rsidRPr="00E56313">
        <w:rPr>
          <w:rFonts w:cs="Times New Roman"/>
          <w:bCs/>
          <w:sz w:val="22"/>
          <w:szCs w:val="22"/>
        </w:rPr>
        <w:tab/>
        <w:t xml:space="preserve">Attitude has no influence on green product purchase intention among selected tertiary students in Gombe State. </w:t>
      </w:r>
    </w:p>
    <w:p w14:paraId="785E3AFC" w14:textId="77777777" w:rsidR="00E56313" w:rsidRPr="00E56313" w:rsidRDefault="00E56313" w:rsidP="00E56313">
      <w:pPr>
        <w:rPr>
          <w:rFonts w:cs="Times New Roman"/>
          <w:bCs/>
          <w:sz w:val="22"/>
          <w:szCs w:val="22"/>
        </w:rPr>
      </w:pPr>
      <w:r w:rsidRPr="00E56313">
        <w:rPr>
          <w:rFonts w:cs="Times New Roman"/>
          <w:bCs/>
          <w:sz w:val="22"/>
          <w:szCs w:val="22"/>
        </w:rPr>
        <w:t>H</w:t>
      </w:r>
      <w:r w:rsidRPr="00E56313">
        <w:rPr>
          <w:rFonts w:cs="Times New Roman"/>
          <w:bCs/>
          <w:sz w:val="22"/>
          <w:szCs w:val="22"/>
          <w:vertAlign w:val="subscript"/>
        </w:rPr>
        <w:t>02</w:t>
      </w:r>
      <w:r w:rsidRPr="00E56313">
        <w:rPr>
          <w:rFonts w:cs="Times New Roman"/>
          <w:bCs/>
          <w:sz w:val="22"/>
          <w:szCs w:val="22"/>
        </w:rPr>
        <w:t xml:space="preserve">: </w:t>
      </w:r>
      <w:r w:rsidRPr="00E56313">
        <w:rPr>
          <w:rFonts w:cs="Times New Roman"/>
          <w:bCs/>
          <w:sz w:val="22"/>
          <w:szCs w:val="22"/>
        </w:rPr>
        <w:tab/>
        <w:t>Subjective norm has no influence on green product purchase intention among selected tertiary students in Gombe State.</w:t>
      </w:r>
    </w:p>
    <w:p w14:paraId="5209CEEE" w14:textId="77777777" w:rsidR="00E56313" w:rsidRPr="00E56313" w:rsidRDefault="00E56313" w:rsidP="00E56313">
      <w:pPr>
        <w:rPr>
          <w:rFonts w:cs="Times New Roman"/>
          <w:bCs/>
          <w:sz w:val="22"/>
          <w:szCs w:val="22"/>
        </w:rPr>
      </w:pPr>
      <w:r w:rsidRPr="00E56313">
        <w:rPr>
          <w:rFonts w:cs="Times New Roman"/>
          <w:bCs/>
          <w:sz w:val="22"/>
          <w:szCs w:val="22"/>
        </w:rPr>
        <w:t>H</w:t>
      </w:r>
      <w:r w:rsidRPr="00E56313">
        <w:rPr>
          <w:rFonts w:cs="Times New Roman"/>
          <w:bCs/>
          <w:sz w:val="22"/>
          <w:szCs w:val="22"/>
          <w:vertAlign w:val="subscript"/>
        </w:rPr>
        <w:t>03</w:t>
      </w:r>
      <w:r w:rsidRPr="00E56313">
        <w:rPr>
          <w:rFonts w:cs="Times New Roman"/>
          <w:bCs/>
          <w:sz w:val="22"/>
          <w:szCs w:val="22"/>
        </w:rPr>
        <w:t xml:space="preserve">: </w:t>
      </w:r>
      <w:r w:rsidRPr="00E56313">
        <w:rPr>
          <w:rFonts w:cs="Times New Roman"/>
          <w:bCs/>
          <w:sz w:val="22"/>
          <w:szCs w:val="22"/>
        </w:rPr>
        <w:tab/>
        <w:t xml:space="preserve">Willingness to pay has no influence on green product purchase intention among selected tertiary students in Gombe State. </w:t>
      </w:r>
    </w:p>
    <w:p w14:paraId="5D546430" w14:textId="77777777" w:rsidR="00E56313" w:rsidRPr="00E56313" w:rsidRDefault="00E56313" w:rsidP="00E56313">
      <w:pPr>
        <w:rPr>
          <w:rFonts w:cs="Times New Roman"/>
          <w:b/>
          <w:bCs/>
          <w:sz w:val="22"/>
          <w:szCs w:val="22"/>
        </w:rPr>
      </w:pPr>
      <w:r w:rsidRPr="00E56313">
        <w:rPr>
          <w:rFonts w:cs="Times New Roman"/>
          <w:b/>
          <w:bCs/>
          <w:sz w:val="22"/>
          <w:szCs w:val="22"/>
        </w:rPr>
        <w:t>2.1 Literature Review</w:t>
      </w:r>
    </w:p>
    <w:p w14:paraId="09947C94" w14:textId="77777777" w:rsidR="00E56313" w:rsidRPr="00E56313" w:rsidRDefault="00E56313" w:rsidP="00E56313">
      <w:pPr>
        <w:rPr>
          <w:rFonts w:cs="Times New Roman"/>
          <w:b/>
          <w:bCs/>
          <w:sz w:val="22"/>
          <w:szCs w:val="22"/>
        </w:rPr>
      </w:pPr>
      <w:r w:rsidRPr="00E56313">
        <w:rPr>
          <w:rFonts w:cs="Times New Roman"/>
          <w:b/>
          <w:bCs/>
          <w:sz w:val="22"/>
          <w:szCs w:val="22"/>
        </w:rPr>
        <w:t xml:space="preserve">2.2. Theoretical Review  </w:t>
      </w:r>
    </w:p>
    <w:p w14:paraId="207BE5E7" w14:textId="77777777" w:rsidR="00E56313" w:rsidRPr="00E56313" w:rsidRDefault="00E56313" w:rsidP="00E56313">
      <w:pPr>
        <w:rPr>
          <w:rFonts w:cs="Times New Roman"/>
          <w:bCs/>
          <w:sz w:val="22"/>
          <w:szCs w:val="22"/>
        </w:rPr>
      </w:pPr>
      <w:r w:rsidRPr="00E56313">
        <w:rPr>
          <w:rFonts w:cs="Times New Roman"/>
          <w:bCs/>
          <w:sz w:val="22"/>
          <w:szCs w:val="22"/>
        </w:rPr>
        <w:t>Ajzen's (1991) the theory of planned behavior (TPB) is among the most important behavioral choice-making theories. Fishbein et al. (1977) proposed the theory of reasoned action (TRA), which gave rise to TPB. TRA explains how individual variables, social environment, and non-volitional factors affect intent (Han, &amp; Kim, 2010). The TPB framework put forward three components: the attitude, subjective norm, and believed lifestyle control, all of which led to the lifestyle intent that in turn influenced consumer lifestyle. However, Scholars has extended the TPA model to accommodate more new variables in line with its original variables (Zhaung et al., 2021). Therefore, this study proposed attitude, the subjective norms, and willingness to pay as independent components to measure green purchase intention. </w:t>
      </w:r>
    </w:p>
    <w:p w14:paraId="4C2F81DE" w14:textId="77777777" w:rsidR="00E56313" w:rsidRPr="00E56313" w:rsidRDefault="00E56313" w:rsidP="00E56313">
      <w:pPr>
        <w:rPr>
          <w:rFonts w:cs="Times New Roman"/>
          <w:b/>
          <w:bCs/>
          <w:sz w:val="22"/>
          <w:szCs w:val="22"/>
        </w:rPr>
      </w:pPr>
      <w:r w:rsidRPr="00E56313">
        <w:rPr>
          <w:rFonts w:cs="Times New Roman"/>
          <w:b/>
          <w:bCs/>
          <w:sz w:val="22"/>
          <w:szCs w:val="22"/>
        </w:rPr>
        <w:t xml:space="preserve">2.3 Conceptual Framework </w:t>
      </w:r>
    </w:p>
    <w:p w14:paraId="55960F44" w14:textId="77777777" w:rsidR="00E56313" w:rsidRPr="00E56313" w:rsidRDefault="00E56313" w:rsidP="00E56313">
      <w:pPr>
        <w:rPr>
          <w:rFonts w:cs="Times New Roman"/>
          <w:bCs/>
          <w:sz w:val="22"/>
          <w:szCs w:val="22"/>
        </w:rPr>
      </w:pPr>
      <w:r w:rsidRPr="00E56313">
        <w:rPr>
          <w:rFonts w:cs="Times New Roman"/>
          <w:bCs/>
          <w:sz w:val="22"/>
          <w:szCs w:val="22"/>
        </w:rPr>
        <w:t xml:space="preserve">The structure involves both independent and dependent variables. The independent factors are attitude, subjective norms, and willingness to pay, while the dependent variable is the purchase intention of tertiary students in Gombe State. </w:t>
      </w:r>
    </w:p>
    <w:p w14:paraId="78D499F0" w14:textId="77777777" w:rsidR="00E56313" w:rsidRPr="00E56313" w:rsidRDefault="00E56313" w:rsidP="00E56313">
      <w:pPr>
        <w:rPr>
          <w:rFonts w:cs="Times New Roman"/>
          <w:b/>
          <w:bCs/>
          <w:sz w:val="22"/>
          <w:szCs w:val="22"/>
        </w:rPr>
      </w:pPr>
      <w:r w:rsidRPr="00E56313">
        <w:rPr>
          <w:rFonts w:cs="Times New Roman"/>
          <w:b/>
          <w:bCs/>
          <w:sz w:val="22"/>
          <w:szCs w:val="22"/>
        </w:rPr>
        <w:t xml:space="preserve">Figure 1: </w:t>
      </w:r>
    </w:p>
    <w:p w14:paraId="0F227E28" w14:textId="77777777" w:rsidR="00E56313" w:rsidRPr="00E56313" w:rsidRDefault="00E56313" w:rsidP="00E56313">
      <w:pPr>
        <w:rPr>
          <w:rFonts w:cs="Times New Roman"/>
          <w:b/>
          <w:bCs/>
          <w:sz w:val="22"/>
          <w:szCs w:val="22"/>
        </w:rPr>
      </w:pPr>
      <w:r w:rsidRPr="00E56313">
        <w:rPr>
          <w:rFonts w:cs="Times New Roman"/>
          <w:bCs/>
          <w:i/>
          <w:sz w:val="22"/>
          <w:szCs w:val="22"/>
        </w:rPr>
        <w:lastRenderedPageBreak/>
        <w:t>Conceptual Framework</w:t>
      </w:r>
    </w:p>
    <w:p w14:paraId="394E82A6" w14:textId="77777777" w:rsidR="00E56313" w:rsidRPr="00E56313" w:rsidRDefault="00E56313" w:rsidP="00E56313">
      <w:pPr>
        <w:rPr>
          <w:rFonts w:cs="Times New Roman"/>
          <w:bCs/>
          <w:sz w:val="22"/>
          <w:szCs w:val="22"/>
        </w:rPr>
      </w:pPr>
      <w:r w:rsidRPr="00E56313">
        <w:rPr>
          <w:rFonts w:cs="Times New Roman"/>
          <w:bCs/>
          <w:noProof/>
          <w:sz w:val="22"/>
          <w:szCs w:val="22"/>
        </w:rPr>
        <mc:AlternateContent>
          <mc:Choice Requires="wpg">
            <w:drawing>
              <wp:anchor distT="0" distB="0" distL="114300" distR="114300" simplePos="0" relativeHeight="251659264" behindDoc="0" locked="0" layoutInCell="1" allowOverlap="1" wp14:anchorId="73E56AF0" wp14:editId="434465AF">
                <wp:simplePos x="0" y="0"/>
                <wp:positionH relativeFrom="column">
                  <wp:posOffset>71120</wp:posOffset>
                </wp:positionH>
                <wp:positionV relativeFrom="paragraph">
                  <wp:posOffset>92710</wp:posOffset>
                </wp:positionV>
                <wp:extent cx="4953000" cy="1238766"/>
                <wp:effectExtent l="0" t="0" r="19050" b="19050"/>
                <wp:wrapNone/>
                <wp:docPr id="16" name="Group 16"/>
                <wp:cNvGraphicFramePr/>
                <a:graphic xmlns:a="http://schemas.openxmlformats.org/drawingml/2006/main">
                  <a:graphicData uri="http://schemas.microsoft.com/office/word/2010/wordprocessingGroup">
                    <wpg:wgp>
                      <wpg:cNvGrpSpPr/>
                      <wpg:grpSpPr>
                        <a:xfrm>
                          <a:off x="0" y="0"/>
                          <a:ext cx="4953000" cy="1238766"/>
                          <a:chOff x="0" y="0"/>
                          <a:chExt cx="6354883" cy="1590007"/>
                        </a:xfrm>
                      </wpg:grpSpPr>
                      <wps:wsp>
                        <wps:cNvPr id="30" name="Rectangle 30"/>
                        <wps:cNvSpPr/>
                        <wps:spPr>
                          <a:xfrm>
                            <a:off x="0" y="0"/>
                            <a:ext cx="1941065" cy="4268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586457" w14:textId="77777777" w:rsidR="00E56313" w:rsidRPr="00A031A8" w:rsidRDefault="00E56313" w:rsidP="00E56313">
                              <w:pPr>
                                <w:jc w:val="center"/>
                                <w:rPr>
                                  <w:rFonts w:cs="Times New Roman"/>
                                  <w:b/>
                                </w:rPr>
                              </w:pPr>
                              <w:r w:rsidRPr="00A031A8">
                                <w:rPr>
                                  <w:rFonts w:cs="Times New Roman"/>
                                  <w:b/>
                                </w:rPr>
                                <w:t xml:space="preserve">Consumer Attitude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531650" name="Rectangle 1748531650"/>
                        <wps:cNvSpPr/>
                        <wps:spPr>
                          <a:xfrm>
                            <a:off x="0" y="534473"/>
                            <a:ext cx="1941065" cy="4268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3EA6F1" w14:textId="77777777" w:rsidR="00E56313" w:rsidRPr="00A031A8" w:rsidRDefault="00E56313" w:rsidP="00E56313">
                              <w:pPr>
                                <w:jc w:val="center"/>
                                <w:rPr>
                                  <w:rFonts w:cs="Times New Roman"/>
                                  <w:b/>
                                </w:rPr>
                              </w:pPr>
                              <w:r w:rsidRPr="00A031A8">
                                <w:rPr>
                                  <w:rFonts w:cs="Times New Roman"/>
                                  <w:b/>
                                </w:rPr>
                                <w:t xml:space="preserve">Subjective Norm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531651" name="Rectangle 1748531651"/>
                        <wps:cNvSpPr/>
                        <wps:spPr>
                          <a:xfrm>
                            <a:off x="0" y="1126657"/>
                            <a:ext cx="1941065" cy="463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388F69" w14:textId="77777777" w:rsidR="00E56313" w:rsidRPr="00A031A8" w:rsidRDefault="00E56313" w:rsidP="00E56313">
                              <w:pPr>
                                <w:jc w:val="center"/>
                                <w:rPr>
                                  <w:rFonts w:cs="Times New Roman"/>
                                  <w:b/>
                                </w:rPr>
                              </w:pPr>
                              <w:r>
                                <w:rPr>
                                  <w:rFonts w:cs="Times New Roman"/>
                                  <w:b/>
                                </w:rPr>
                                <w:t>Willingness to Pay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531652" name="Straight Arrow Connector 1748531652"/>
                        <wps:cNvCnPr/>
                        <wps:spPr>
                          <a:xfrm>
                            <a:off x="1957589" y="244699"/>
                            <a:ext cx="1776896" cy="5721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8531653" name="Oval 1748531653"/>
                        <wps:cNvSpPr/>
                        <wps:spPr>
                          <a:xfrm>
                            <a:off x="3696237" y="392806"/>
                            <a:ext cx="2658646" cy="11620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9AB1D59" w14:textId="77777777" w:rsidR="00E56313" w:rsidRPr="00A031A8" w:rsidRDefault="00E56313" w:rsidP="00E56313">
                              <w:pPr>
                                <w:jc w:val="center"/>
                                <w:rPr>
                                  <w:rFonts w:cs="Times New Roman"/>
                                  <w:b/>
                                </w:rPr>
                              </w:pPr>
                              <w:r w:rsidRPr="00A031A8">
                                <w:rPr>
                                  <w:rFonts w:cs="Times New Roman"/>
                                  <w:b/>
                                </w:rPr>
                                <w:t xml:space="preserve">Green Purchase Intention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8531654" name="Straight Arrow Connector 1748531654"/>
                        <wps:cNvCnPr/>
                        <wps:spPr>
                          <a:xfrm>
                            <a:off x="1931831" y="817809"/>
                            <a:ext cx="1805867" cy="2270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8531655" name="Straight Arrow Connector 1748531655"/>
                        <wps:cNvCnPr/>
                        <wps:spPr>
                          <a:xfrm flipV="1">
                            <a:off x="1951149" y="1133341"/>
                            <a:ext cx="1795888" cy="236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E56AF0" id="Group 16" o:spid="_x0000_s1026" style="position:absolute;left:0;text-align:left;margin-left:5.6pt;margin-top:7.3pt;width:390pt;height:97.55pt;z-index:251659264;mso-width-relative:margin;mso-height-relative:margin" coordsize="63548,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">
                <v:rect id="Rectangle 30" o:spid="_x0000_s1027" style="position:absolute;width:19410;height:4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nl78A&#10;AADbAAAADwAAAGRycy9kb3ducmV2LnhtbERPy4rCMBTdC/MP4QruNHUKotUozkh1llofs700d9pi&#10;c1OaqPXvJwvB5eG8F6vO1OJOrassKxiPIhDEudUVFwpOx3Q4BeE8ssbaMil4koPV8qO3wETbBx/o&#10;nvlChBB2CSoovW8SKV1ekkE3sg1x4P5sa9AH2BZSt/gI4aaWn1E0kQYrDg0lNvRdUn7NbkbBLd9+&#10;/RbNer9JY95JO56Z80UrNeh36zkIT51/i1/uH60gDuvDl/A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9eeXvwAAANsAAAAPAAAAAAAAAAAAAAAAAJgCAABkcnMvZG93bnJl&#10;di54bWxQSwUGAAAAAAQABAD1AAAAhAMAAAAA&#10;" fillcolor="white [3201]" strokecolor="#70ad47 [3209]" strokeweight="1pt">
                  <v:textbox>
                    <w:txbxContent>
                      <w:p w14:paraId="02586457" w14:textId="77777777" w:rsidR="00E56313" w:rsidRPr="00A031A8" w:rsidRDefault="00E56313" w:rsidP="00E56313">
                        <w:pPr>
                          <w:jc w:val="center"/>
                          <w:rPr>
                            <w:rFonts w:cs="Times New Roman"/>
                            <w:b/>
                          </w:rPr>
                        </w:pPr>
                        <w:r w:rsidRPr="00A031A8">
                          <w:rPr>
                            <w:rFonts w:cs="Times New Roman"/>
                            <w:b/>
                          </w:rPr>
                          <w:t xml:space="preserve">Consumer Attitude  </w:t>
                        </w:r>
                      </w:p>
                    </w:txbxContent>
                  </v:textbox>
                </v:rect>
                <v:rect id="Rectangle 1748531650" o:spid="_x0000_s1028" style="position:absolute;top:5344;width:19410;height:4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5kMsA&#10;AADjAAAADwAAAGRycy9kb3ducmV2LnhtbESPS2/CQAyE70j9DytX6g02gfJoyoKgFY9jC31crayb&#10;RM16o+wC6b+vD0gcbY9n5psvO1erM7Wh8mwgHSSgiHNvKy4MfBw3/RmoEJEt1p7JwB8FWC7uenPM&#10;rL/wO50PsVBiwiFDA2WMTaZ1yEtyGAa+IZbbj28dRhnbQtsWL2Luaj1Mkol2WLEklNjQS0n57+Hk&#10;DJzy7fq7aFZvr5sR77RPn9znlzXm4b5bPYOK1MWb+Pq9t1J/+jgbj9LJWCiESRagF/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K/mQywAAAOMAAAAPAAAAAAAAAAAAAAAAAJgC&#10;AABkcnMvZG93bnJldi54bWxQSwUGAAAAAAQABAD1AAAAkAMAAAAA&#10;" fillcolor="white [3201]" strokecolor="#70ad47 [3209]" strokeweight="1pt">
                  <v:textbox>
                    <w:txbxContent>
                      <w:p w14:paraId="7D3EA6F1" w14:textId="77777777" w:rsidR="00E56313" w:rsidRPr="00A031A8" w:rsidRDefault="00E56313" w:rsidP="00E56313">
                        <w:pPr>
                          <w:jc w:val="center"/>
                          <w:rPr>
                            <w:rFonts w:cs="Times New Roman"/>
                            <w:b/>
                          </w:rPr>
                        </w:pPr>
                        <w:r w:rsidRPr="00A031A8">
                          <w:rPr>
                            <w:rFonts w:cs="Times New Roman"/>
                            <w:b/>
                          </w:rPr>
                          <w:t xml:space="preserve">Subjective Norm  </w:t>
                        </w:r>
                      </w:p>
                    </w:txbxContent>
                  </v:textbox>
                </v:rect>
                <v:rect id="Rectangle 1748531651" o:spid="_x0000_s1029" style="position:absolute;top:11266;width:19410;height:4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cC8cA&#10;AADjAAAADwAAAGRycy9kb3ducmV2LnhtbERPS0/CQBC+m/gfNmPCTbYFgVK6EMCgHuWl10l3aBu6&#10;s013gfrvWRMTj/O9J1t0phZXal1lWUHcj0AQ51ZXXCg47DfPCQjnkTXWlknBDzlYzB8fMky1vfGW&#10;rjtfiBDCLkUFpfdNKqXLSzLo+rYhDtzJtgZ9ONtC6hZvIdzUchBFY2mw4tBQYkPrkvLz7mIUXPK3&#10;1XfRLD9fN0N+lzaemuOXVqr31C1nIDx1/l/85/7QYf7kJRkN4/Eoht+fAgB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XAvHAAAA4wAAAA8AAAAAAAAAAAAAAAAAmAIAAGRy&#10;cy9kb3ducmV2LnhtbFBLBQYAAAAABAAEAPUAAACMAwAAAAA=&#10;" fillcolor="white [3201]" strokecolor="#70ad47 [3209]" strokeweight="1pt">
                  <v:textbox>
                    <w:txbxContent>
                      <w:p w14:paraId="38388F69" w14:textId="77777777" w:rsidR="00E56313" w:rsidRPr="00A031A8" w:rsidRDefault="00E56313" w:rsidP="00E56313">
                        <w:pPr>
                          <w:jc w:val="center"/>
                          <w:rPr>
                            <w:rFonts w:cs="Times New Roman"/>
                            <w:b/>
                          </w:rPr>
                        </w:pPr>
                        <w:r>
                          <w:rPr>
                            <w:rFonts w:cs="Times New Roman"/>
                            <w:b/>
                          </w:rPr>
                          <w:t>Willingness to Pay</w:t>
                        </w:r>
                      </w:p>
                    </w:txbxContent>
                  </v:textbox>
                </v:rect>
                <v:shapetype id="_x0000_t32" coordsize="21600,21600" o:spt="32" o:oned="t" path="m,l21600,21600e" filled="f">
                  <v:path arrowok="t" fillok="f" o:connecttype="none"/>
                  <o:lock v:ext="edit" shapetype="t"/>
                </v:shapetype>
                <v:shape id="Straight Arrow Connector 1748531652" o:spid="_x0000_s1030" type="#_x0000_t32" style="position:absolute;left:19575;top:2446;width:17769;height:5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7N/cgAAADjAAAADwAAAGRycy9kb3ducmV2LnhtbERPS2vCQBC+C/0PyxR6043WpDa6iloK&#10;qTcf9Dxkp0kwOxuz2yT++26h0ON871ltBlOLjlpXWVYwnUQgiHOrKy4UXM7v4wUI55E11pZJwZ0c&#10;bNYPoxWm2vZ8pO7kCxFC2KWooPS+SaV0eUkG3cQ2xIH7sq1BH862kLrFPoSbWs6iKJEGKw4NJTa0&#10;Lym/nr6Ngh795+tuW9z2u7ePbIjrW3K+HJR6ehy2SxCeBv8v/nNnOsx/mS/i52kSz+D3pwCAX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57N/cgAAADjAAAADwAAAAAA&#10;AAAAAAAAAAChAgAAZHJzL2Rvd25yZXYueG1sUEsFBgAAAAAEAAQA+QAAAJYDAAAAAA==&#10;" strokecolor="black [3200]" strokeweight=".5pt">
                  <v:stroke endarrow="block" joinstyle="miter"/>
                </v:shape>
                <v:oval id="Oval 1748531653" o:spid="_x0000_s1031" style="position:absolute;left:36962;top:3928;width:26586;height:1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7TcgA&#10;AADjAAAADwAAAGRycy9kb3ducmV2LnhtbERPS0vDQBC+C/6HZQQvYiexT2K3RQWJeCnW4nnMjkkw&#10;Oxt2t03017uC4HG+96y3o+3UiX1onWjIJxkolsqZVmoNh9fH6xWoEEkMdU5YwxcH2G7Oz9ZUGDfI&#10;C5/2sVYpREJBGpoY+wIxVA1bChPXsyTuw3lLMZ2+RuNpSOG2w5ssW6ClVlJDQz0/NFx97o9WA2ZD&#10;iTkO/bN/m+3u38vj7ru80vryYry7BRV5jP/iP/eTSfOXs9V8mi/mU/j9KQGA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IntNyAAAAOMAAAAPAAAAAAAAAAAAAAAAAJgCAABk&#10;cnMvZG93bnJldi54bWxQSwUGAAAAAAQABAD1AAAAjQMAAAAA&#10;" fillcolor="white [3201]" strokecolor="#70ad47 [3209]" strokeweight="1pt">
                  <v:stroke joinstyle="miter"/>
                  <v:textbox>
                    <w:txbxContent>
                      <w:p w14:paraId="49AB1D59" w14:textId="77777777" w:rsidR="00E56313" w:rsidRPr="00A031A8" w:rsidRDefault="00E56313" w:rsidP="00E56313">
                        <w:pPr>
                          <w:jc w:val="center"/>
                          <w:rPr>
                            <w:rFonts w:cs="Times New Roman"/>
                            <w:b/>
                          </w:rPr>
                        </w:pPr>
                        <w:r w:rsidRPr="00A031A8">
                          <w:rPr>
                            <w:rFonts w:cs="Times New Roman"/>
                            <w:b/>
                          </w:rPr>
                          <w:t xml:space="preserve">Green Purchase Intention  </w:t>
                        </w:r>
                      </w:p>
                    </w:txbxContent>
                  </v:textbox>
                </v:oval>
                <v:shape id="Straight Arrow Connector 1748531654" o:spid="_x0000_s1032" type="#_x0000_t32" style="position:absolute;left:19318;top:8178;width:18058;height:2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vwEscAAADjAAAADwAAAGRycy9kb3ducmV2LnhtbERPS2vCQBC+F/wPywi91Y2tiRpdRS0F&#10;680HnofsmASzszG7Nem/dwtCj/O9Z77sTCXu1LjSsoLhIAJBnFldcq7gdPx6m4BwHlljZZkU/JKD&#10;5aL3MsdU25b3dD/4XIQQdikqKLyvUyldVpBBN7A1ceAutjHow9nkUjfYhnBTyfcoSqTBkkNDgTVt&#10;Csquhx+joEV/nq5X+W2z/vzednF1S46nnVKv/W41A+Gp8//ip3urw/zxaBJ/DJN4BH8/BQDk4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O/ASxwAAAOMAAAAPAAAAAAAA&#10;AAAAAAAAAKECAABkcnMvZG93bnJldi54bWxQSwUGAAAAAAQABAD5AAAAlQMAAAAA&#10;" strokecolor="black [3200]" strokeweight=".5pt">
                  <v:stroke endarrow="block" joinstyle="miter"/>
                </v:shape>
                <v:shape id="Straight Arrow Connector 1748531655" o:spid="_x0000_s1033" type="#_x0000_t32" style="position:absolute;left:19511;top:11333;width:17959;height:23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HTm8gAAADjAAAADwAAAGRycy9kb3ducmV2LnhtbERPzUrDQBC+C32HZQpexG7aJG2J3RZR&#10;xF4bRfQ2ZsckmJ0NmbWNb98VCh7n+5/NbnSdOtIgrWcD81kCirjytuXawOvL0+0alARki51nMvBL&#10;Arvt5GqDhfUnPtCxDLWKISwFGmhC6AutpWrIocx8Txy5Lz84DPEcam0HPMVw1+lFkiy1w5ZjQ4M9&#10;PTRUfZc/zkAaMlkcsveVlB/15419TFN5ezbmejre34EKNIZ/8cW9t3H+Klvn6XyZ5/D3UwRAb8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GHTm8gAAADjAAAADwAAAAAA&#10;AAAAAAAAAAChAgAAZHJzL2Rvd25yZXYueG1sUEsFBgAAAAAEAAQA+QAAAJYDAAAAAA==&#10;" strokecolor="black [3200]" strokeweight=".5pt">
                  <v:stroke endarrow="block" joinstyle="miter"/>
                </v:shape>
              </v:group>
            </w:pict>
          </mc:Fallback>
        </mc:AlternateContent>
      </w:r>
    </w:p>
    <w:p w14:paraId="13F6E40A" w14:textId="77777777" w:rsidR="00E56313" w:rsidRPr="00E56313" w:rsidRDefault="00E56313" w:rsidP="00E56313">
      <w:pPr>
        <w:rPr>
          <w:rFonts w:cs="Times New Roman"/>
          <w:bCs/>
          <w:sz w:val="22"/>
          <w:szCs w:val="22"/>
        </w:rPr>
      </w:pPr>
    </w:p>
    <w:p w14:paraId="0196FCEC" w14:textId="77777777" w:rsidR="00E56313" w:rsidRPr="00E56313" w:rsidRDefault="00E56313" w:rsidP="00E56313">
      <w:pPr>
        <w:rPr>
          <w:rFonts w:cs="Times New Roman"/>
          <w:bCs/>
          <w:sz w:val="22"/>
          <w:szCs w:val="22"/>
        </w:rPr>
      </w:pPr>
      <w:r w:rsidRPr="00E56313">
        <w:rPr>
          <w:rFonts w:cs="Times New Roman"/>
          <w:bCs/>
          <w:sz w:val="22"/>
          <w:szCs w:val="22"/>
        </w:rPr>
        <w:tab/>
      </w:r>
    </w:p>
    <w:p w14:paraId="1871A06F" w14:textId="77777777" w:rsidR="00E56313" w:rsidRPr="00E56313" w:rsidRDefault="00E56313" w:rsidP="00E56313">
      <w:pPr>
        <w:rPr>
          <w:rFonts w:cs="Times New Roman"/>
          <w:b/>
          <w:bCs/>
          <w:sz w:val="22"/>
          <w:szCs w:val="22"/>
        </w:rPr>
      </w:pPr>
      <w:r w:rsidRPr="00E56313">
        <w:rPr>
          <w:rFonts w:cs="Times New Roman"/>
          <w:b/>
          <w:bCs/>
          <w:sz w:val="22"/>
          <w:szCs w:val="22"/>
        </w:rPr>
        <w:tab/>
      </w:r>
    </w:p>
    <w:p w14:paraId="5A248CBA" w14:textId="77777777" w:rsidR="00E56313" w:rsidRPr="00E56313" w:rsidRDefault="00E56313" w:rsidP="00E56313">
      <w:pPr>
        <w:rPr>
          <w:rFonts w:cs="Times New Roman"/>
          <w:b/>
          <w:bCs/>
          <w:sz w:val="22"/>
          <w:szCs w:val="22"/>
        </w:rPr>
      </w:pPr>
    </w:p>
    <w:p w14:paraId="4737AF12" w14:textId="77777777" w:rsidR="00E56313" w:rsidRPr="00E56313" w:rsidRDefault="00E56313" w:rsidP="00E56313">
      <w:pPr>
        <w:rPr>
          <w:rFonts w:cs="Times New Roman"/>
          <w:b/>
          <w:bCs/>
          <w:sz w:val="22"/>
          <w:szCs w:val="22"/>
        </w:rPr>
      </w:pPr>
    </w:p>
    <w:p w14:paraId="3E44327C" w14:textId="77777777" w:rsidR="00E56313" w:rsidRPr="00E56313" w:rsidRDefault="00E56313" w:rsidP="00E56313">
      <w:pPr>
        <w:rPr>
          <w:rFonts w:cs="Times New Roman"/>
          <w:b/>
          <w:bCs/>
          <w:sz w:val="22"/>
          <w:szCs w:val="22"/>
        </w:rPr>
      </w:pPr>
    </w:p>
    <w:p w14:paraId="59519CEE" w14:textId="77777777" w:rsidR="00E56313" w:rsidRPr="00E56313" w:rsidRDefault="00E56313" w:rsidP="00E56313">
      <w:pPr>
        <w:rPr>
          <w:rFonts w:cs="Times New Roman"/>
          <w:b/>
          <w:bCs/>
          <w:sz w:val="22"/>
          <w:szCs w:val="22"/>
        </w:rPr>
      </w:pPr>
      <w:r w:rsidRPr="00E56313">
        <w:rPr>
          <w:rFonts w:cs="Times New Roman"/>
          <w:b/>
          <w:bCs/>
          <w:sz w:val="22"/>
          <w:szCs w:val="22"/>
        </w:rPr>
        <w:t xml:space="preserve">2.4 Conceptual and Empirical Review </w:t>
      </w:r>
    </w:p>
    <w:p w14:paraId="2AFE4728" w14:textId="77777777" w:rsidR="00E56313" w:rsidRPr="00E56313" w:rsidRDefault="00E56313" w:rsidP="00E56313">
      <w:pPr>
        <w:rPr>
          <w:rFonts w:cs="Times New Roman"/>
          <w:b/>
          <w:bCs/>
          <w:i/>
          <w:sz w:val="22"/>
          <w:szCs w:val="22"/>
        </w:rPr>
      </w:pPr>
      <w:r w:rsidRPr="00E56313">
        <w:rPr>
          <w:rFonts w:cs="Times New Roman"/>
          <w:b/>
          <w:bCs/>
          <w:i/>
          <w:sz w:val="22"/>
          <w:szCs w:val="22"/>
        </w:rPr>
        <w:t xml:space="preserve">Attitude and Ecological Buying Intent (Green Purchase Intention) </w:t>
      </w:r>
    </w:p>
    <w:p w14:paraId="77FC8432" w14:textId="77777777" w:rsidR="00E56313" w:rsidRPr="00E56313" w:rsidRDefault="00E56313" w:rsidP="00E56313">
      <w:pPr>
        <w:rPr>
          <w:rFonts w:cs="Times New Roman"/>
          <w:bCs/>
          <w:sz w:val="22"/>
          <w:szCs w:val="22"/>
        </w:rPr>
      </w:pPr>
      <w:r w:rsidRPr="00E56313">
        <w:rPr>
          <w:rFonts w:cs="Times New Roman"/>
          <w:bCs/>
          <w:sz w:val="22"/>
          <w:szCs w:val="22"/>
        </w:rPr>
        <w:t>Consumer attitude is the end users' preferences for things, which are typically articulated in positive or negative terms (Ajzen, 2001). Solomon (2015) defined consumer attitudes toward green products as an end user’s reactions to ecological items that are either good or bad, whereas Felix and Braunsberger (2016) observed that purchase decisions are typically dependent on consumer attitudes toward the environment. According to Paul et al. (2016); Varshneya et al. (2017); and Yadav and Pathak (2017), attitudes about green products have a direct impact on green buying intentions. Lai et al. (2016) conducted a study and found that attitudes toward green items correlate with green purchase intentions. Furthermore, Yadav and Pathak (2016) also found in their study that consumer attitudes towards eco-friendly product has a favorable and considerable impact on ecological buying intent. In the study conducted by Adella and Nurjanah (2022), attitudes towards environmentally friendly product significantly affect ecological buying desire. The study concludes that the more favorable the end user’s attitude is, the stronger the belief in using ecological goods or services.</w:t>
      </w:r>
    </w:p>
    <w:p w14:paraId="2D687AFC" w14:textId="77777777" w:rsidR="00E56313" w:rsidRPr="00E56313" w:rsidRDefault="00E56313" w:rsidP="00E56313">
      <w:pPr>
        <w:rPr>
          <w:rFonts w:cs="Times New Roman"/>
          <w:b/>
          <w:bCs/>
          <w:i/>
          <w:sz w:val="22"/>
          <w:szCs w:val="22"/>
        </w:rPr>
      </w:pPr>
      <w:r w:rsidRPr="00E56313">
        <w:rPr>
          <w:rFonts w:cs="Times New Roman"/>
          <w:b/>
          <w:bCs/>
          <w:i/>
          <w:sz w:val="22"/>
          <w:szCs w:val="22"/>
        </w:rPr>
        <w:t>The Subjective Norms and the Ecological Buying Intent (Green Purchase Intention)</w:t>
      </w:r>
    </w:p>
    <w:p w14:paraId="1C42E31A" w14:textId="77777777" w:rsidR="00E56313" w:rsidRPr="00E56313" w:rsidRDefault="00E56313" w:rsidP="00E56313">
      <w:pPr>
        <w:rPr>
          <w:rFonts w:cs="Times New Roman"/>
          <w:bCs/>
          <w:sz w:val="22"/>
          <w:szCs w:val="22"/>
        </w:rPr>
      </w:pPr>
      <w:r w:rsidRPr="00E56313">
        <w:rPr>
          <w:rFonts w:cs="Times New Roman"/>
          <w:bCs/>
          <w:sz w:val="22"/>
          <w:szCs w:val="22"/>
        </w:rPr>
        <w:t xml:space="preserve">The subjective norm describes how societal standards affect conduct (Rausch, &amp; Kopplin, 2021). Ruangkanjanases, et al. (2020) opine that under societal pressure, customers will support or oppose ecological goods or services based on their perceived environmental friendliness. The subjective norm is an important element in ecological study that investigates how individuals make decisions and how their social surroundings affects them. Environmentally hazardous actions can be shunned in social contexts or substituted with approaches that are more beneficial to the ecosystem since they inadvertently injure other people. (Rausch, &amp; Kopplin, 2021). Subjective norm relates to a buyer's impression of social pressures that can affect the outcome of an action. The idea reflects societal expectations and thinking, which can encourage a person to form specific opinions or perspectives (Iranmanesh et al., 2016). This suggests that the compelling or unappealing activities of the individuals within customers' surroundings reflect the consumer's intention and, as a result, their behavior (DeLamater &amp; Myers, 2010). In the study conducted by Öhman (2011) subjective norm significantly and positively influence green purchase intention. Similarly, Jung et al. (2021) reported that subjective norm significantly influences green purchasing intentions of consumer. </w:t>
      </w:r>
      <w:r w:rsidRPr="00E56313">
        <w:rPr>
          <w:rFonts w:cs="Times New Roman"/>
          <w:bCs/>
          <w:sz w:val="22"/>
          <w:szCs w:val="22"/>
        </w:rPr>
        <w:lastRenderedPageBreak/>
        <w:t>Iqbal et al. (2023), Taylor and Cosenza (2002), Gotschi et al. (2007), and Alalei and Jan (2023) all reported that subjective norms influences ecological buying intent.</w:t>
      </w:r>
    </w:p>
    <w:p w14:paraId="4D0F0FD8" w14:textId="77777777" w:rsidR="00E56313" w:rsidRPr="00E56313" w:rsidRDefault="00E56313" w:rsidP="00E56313">
      <w:pPr>
        <w:rPr>
          <w:rFonts w:cs="Times New Roman"/>
          <w:b/>
          <w:bCs/>
          <w:i/>
          <w:sz w:val="22"/>
          <w:szCs w:val="22"/>
        </w:rPr>
      </w:pPr>
      <w:r w:rsidRPr="00E56313">
        <w:rPr>
          <w:rFonts w:cs="Times New Roman"/>
          <w:b/>
          <w:bCs/>
          <w:i/>
          <w:sz w:val="22"/>
          <w:szCs w:val="22"/>
        </w:rPr>
        <w:t>Willingness to Pay and Ecological Buying Intent (Green Purchase Intention)</w:t>
      </w:r>
    </w:p>
    <w:p w14:paraId="55DFC289" w14:textId="77777777" w:rsidR="00E56313" w:rsidRPr="00E56313" w:rsidRDefault="00E56313" w:rsidP="00E56313">
      <w:pPr>
        <w:rPr>
          <w:rFonts w:cs="Times New Roman"/>
          <w:bCs/>
          <w:sz w:val="22"/>
          <w:szCs w:val="22"/>
        </w:rPr>
      </w:pPr>
      <w:r w:rsidRPr="00E56313">
        <w:rPr>
          <w:rFonts w:cs="Times New Roman"/>
          <w:bCs/>
          <w:sz w:val="22"/>
          <w:szCs w:val="22"/>
        </w:rPr>
        <w:t xml:space="preserve">Consumers typically evaluate pricing when comparing distinct good options and making final buying choices (De-Medeiros et al., 2016). According to Vega-Zamora et al. (2014), the cost of green products is typically higher than that of conventional ones. As a result, price can be viewed as one of the elements influencing green purchase intention. Some studies, such as Chaudhary and Bisai (2018); Grankvist and Biel (2001); Olson (2013); Chaudhary (2018); Chowdhury Alamgir (2021); and Prakash and Pathak (2017) reported that consumer willingness to pay higher price influences green purchase intentions. This implies that green end users are ready to spend higher prices for ecological goods.  Van-Doorn and Verhoef (2011) conducted a study and discovered that readiness to pay has favorable effect on ecological buying intent. The researcher explained that customers are willing to spend up to 13% more for organic items and up to 30% more for energy-efficient household appliances. However, in the study conducted by Choi and Parsa (2007) and that of Jauhari and Manaktola (2007) it was reported that willingness to pay have no influence on green purchase intention.   </w:t>
      </w:r>
    </w:p>
    <w:p w14:paraId="0436DF49" w14:textId="77777777" w:rsidR="00E56313" w:rsidRPr="00E56313" w:rsidRDefault="00E56313" w:rsidP="00E56313">
      <w:pPr>
        <w:rPr>
          <w:rFonts w:cs="Times New Roman"/>
          <w:b/>
          <w:bCs/>
          <w:i/>
          <w:sz w:val="22"/>
          <w:szCs w:val="22"/>
        </w:rPr>
      </w:pPr>
      <w:r w:rsidRPr="00E56313">
        <w:rPr>
          <w:rFonts w:cs="Times New Roman"/>
          <w:b/>
          <w:bCs/>
          <w:i/>
          <w:sz w:val="22"/>
          <w:szCs w:val="22"/>
        </w:rPr>
        <w:t xml:space="preserve">Green Purchase Intention  </w:t>
      </w:r>
    </w:p>
    <w:p w14:paraId="48209B02" w14:textId="77777777" w:rsidR="00E56313" w:rsidRPr="00E56313" w:rsidRDefault="00E56313" w:rsidP="00E56313">
      <w:pPr>
        <w:rPr>
          <w:rFonts w:cs="Times New Roman"/>
          <w:bCs/>
          <w:sz w:val="22"/>
          <w:szCs w:val="22"/>
        </w:rPr>
      </w:pPr>
      <w:r w:rsidRPr="00E56313">
        <w:rPr>
          <w:rFonts w:cs="Times New Roman"/>
          <w:bCs/>
          <w:sz w:val="22"/>
          <w:szCs w:val="22"/>
        </w:rPr>
        <w:t>Generally, Intention relates to an individual's desire or ability to take part in the conduct being discussed (Han &amp; Kim, 2010). In view of the above, Green buying intention can be described as buyers' inclination to buy eco-friendly objects or push for ecological substitutes. (Paul et al., 2016). According to According to Burhanudin and Ferguson (2018), there are two primary incentives for ecological buy intentions: preventing a possible loss and being delighted to contribute to ecological progress. Ajzen (2002) believed that intent was the best indicator and forerunner of behavior. Similarly, Punyatoya (2015) discovered that favorable intents toward ecologic products enhance the probability of making an environmentally friendly buying, whereas bad intentions reduce it.</w:t>
      </w:r>
    </w:p>
    <w:p w14:paraId="3A00BF95" w14:textId="769CB937" w:rsidR="00E56313" w:rsidRPr="00E56313" w:rsidRDefault="00E56313" w:rsidP="00E56313">
      <w:pPr>
        <w:rPr>
          <w:rFonts w:cs="Times New Roman"/>
          <w:b/>
          <w:bCs/>
          <w:sz w:val="22"/>
          <w:szCs w:val="22"/>
        </w:rPr>
      </w:pPr>
      <w:r w:rsidRPr="00E56313">
        <w:rPr>
          <w:rFonts w:cs="Times New Roman"/>
          <w:b/>
          <w:bCs/>
          <w:sz w:val="22"/>
          <w:szCs w:val="22"/>
        </w:rPr>
        <w:t xml:space="preserve">3.1 Methodology </w:t>
      </w:r>
    </w:p>
    <w:p w14:paraId="49C29623" w14:textId="77777777" w:rsidR="00E56313" w:rsidRPr="00E56313" w:rsidRDefault="00E56313" w:rsidP="00E56313">
      <w:pPr>
        <w:rPr>
          <w:rFonts w:cs="Times New Roman"/>
          <w:bCs/>
          <w:sz w:val="22"/>
          <w:szCs w:val="22"/>
        </w:rPr>
      </w:pPr>
      <w:r w:rsidRPr="00E56313">
        <w:rPr>
          <w:rFonts w:cs="Times New Roman"/>
          <w:bCs/>
          <w:sz w:val="22"/>
          <w:szCs w:val="22"/>
        </w:rPr>
        <w:t xml:space="preserve">This study employed a survey method of research to investigate components affecting ecological buying intention within tertiary students in Gombe state. The study population was thirty-eight thousand, one hundred and fifty-five (38155) which comprises of students of the five (5) tertiary institutions in Gombe state (Gombe State University, Gombe, Gombe State; National Open University of Nigeria, Gombe Branch; Pen Resources University, Gombe, Gombe State; Federal College of Education (Technical), Gombe, Gombe and College of Nursing and Midwifery, Gombe). However, the criteria for selection of participants was strictly on an individual who is green consumer or intending green product users. Tertiary institution students were chosen for this study for two reasons: first, for convenience purpose; second, a significant portion of the students are young, educated, and likely to be consumers or potential consumers of green products. As a result, using tertiary institution students is anticipated to lessen the variance effect in literacy and age biasness. </w:t>
      </w:r>
    </w:p>
    <w:p w14:paraId="4906A2D8" w14:textId="77777777" w:rsidR="00E56313" w:rsidRPr="00E56313" w:rsidRDefault="00E56313" w:rsidP="00E56313">
      <w:pPr>
        <w:rPr>
          <w:rFonts w:cs="Times New Roman"/>
          <w:bCs/>
          <w:sz w:val="22"/>
          <w:szCs w:val="22"/>
        </w:rPr>
      </w:pPr>
      <w:r w:rsidRPr="00E56313">
        <w:rPr>
          <w:rFonts w:cs="Times New Roman"/>
          <w:bCs/>
          <w:sz w:val="22"/>
          <w:szCs w:val="22"/>
        </w:rPr>
        <w:t xml:space="preserve">From the total population of 38155, Taro Yamane (1967) sample size determination formula with 95% confidence level and 5% error term was used to arrive at 396 sample size. The primary data collected via five-point Likert scale questionnaire (strongly disagree (SD) “1” to </w:t>
      </w:r>
      <w:r w:rsidRPr="00E56313">
        <w:rPr>
          <w:rFonts w:cs="Times New Roman"/>
          <w:bCs/>
          <w:sz w:val="22"/>
          <w:szCs w:val="22"/>
        </w:rPr>
        <w:lastRenderedPageBreak/>
        <w:t>strongly agree (SA) “5” adapted from Chowdhury and Alamgir (2021) and Alalei and Jan (2023) was analyzed using multiple regression with the aid of SPSS package. Cronbach’s Alpha reliability test was carried out on all the variables of the study and each of the variable Cronbach’s Alpha were within the recommended threshold of &gt; .70 according to (DeVellis, 2003).  This implies that all the variables were valid and reliable for the study.</w:t>
      </w:r>
    </w:p>
    <w:p w14:paraId="1EA2020D" w14:textId="77777777" w:rsidR="00E56313" w:rsidRPr="00E56313" w:rsidRDefault="00E56313" w:rsidP="00E56313">
      <w:pPr>
        <w:rPr>
          <w:rFonts w:cs="Times New Roman"/>
          <w:b/>
          <w:bCs/>
          <w:sz w:val="22"/>
          <w:szCs w:val="22"/>
        </w:rPr>
      </w:pPr>
      <w:r w:rsidRPr="00E56313">
        <w:rPr>
          <w:rFonts w:cs="Times New Roman"/>
          <w:b/>
          <w:bCs/>
          <w:sz w:val="22"/>
          <w:szCs w:val="22"/>
        </w:rPr>
        <w:t>3.1.1 The Correlation Analysis</w:t>
      </w:r>
    </w:p>
    <w:p w14:paraId="48356E6F" w14:textId="77777777" w:rsidR="00E56313" w:rsidRPr="00E56313" w:rsidRDefault="00E56313" w:rsidP="00E56313">
      <w:pPr>
        <w:rPr>
          <w:rFonts w:cs="Times New Roman"/>
          <w:bCs/>
          <w:sz w:val="22"/>
          <w:szCs w:val="22"/>
        </w:rPr>
      </w:pPr>
      <w:r w:rsidRPr="00E56313">
        <w:rPr>
          <w:rFonts w:cs="Times New Roman"/>
          <w:bCs/>
          <w:sz w:val="22"/>
          <w:szCs w:val="22"/>
        </w:rPr>
        <w:t>Correlation analysis was used to clarify the association among all of the variables in the study. Correlation analysis provides a numerical summary of the direction and strength of the linear relationship between two or more variables. Specifically, The Pearson correlation method was utilized to investigate the correlation coefficients of the variables (attitude, the subjective norm, willingness to pay, and green purchase intention).  Prior to hypothesis testing, a correlation analysis was performed to evaluate the extent to which the study's variables were related as well as to check for convergence. Multiple collinearity occurs when two or more independent variables in a regression model are strongly connected. Table 1 shows the correlation coefficients for the variables.</w:t>
      </w:r>
    </w:p>
    <w:p w14:paraId="0D125325" w14:textId="087C6DA9" w:rsidR="00E56313" w:rsidRPr="00E56313" w:rsidRDefault="00E56313" w:rsidP="00E56313">
      <w:pPr>
        <w:rPr>
          <w:rFonts w:cs="Times New Roman"/>
          <w:b/>
          <w:bCs/>
          <w:sz w:val="22"/>
          <w:szCs w:val="22"/>
        </w:rPr>
      </w:pPr>
      <w:r w:rsidRPr="00E56313">
        <w:rPr>
          <w:rFonts w:cs="Times New Roman"/>
          <w:b/>
          <w:bCs/>
          <w:sz w:val="22"/>
          <w:szCs w:val="22"/>
        </w:rPr>
        <w:t>3.2 Results and Analysis</w:t>
      </w:r>
      <w:r w:rsidRPr="00E56313">
        <w:rPr>
          <w:rFonts w:cs="Times New Roman"/>
          <w:bCs/>
          <w:sz w:val="22"/>
          <w:szCs w:val="22"/>
        </w:rPr>
        <w:t xml:space="preserve"> </w:t>
      </w:r>
    </w:p>
    <w:p w14:paraId="130C7B20" w14:textId="77777777" w:rsidR="00E56313" w:rsidRPr="00E56313" w:rsidRDefault="00E56313" w:rsidP="00E56313">
      <w:pPr>
        <w:rPr>
          <w:rFonts w:cs="Times New Roman"/>
          <w:bCs/>
          <w:sz w:val="22"/>
          <w:szCs w:val="22"/>
        </w:rPr>
      </w:pPr>
      <w:r w:rsidRPr="00E56313">
        <w:rPr>
          <w:rFonts w:cs="Times New Roman"/>
          <w:bCs/>
          <w:sz w:val="22"/>
          <w:szCs w:val="22"/>
        </w:rPr>
        <w:t xml:space="preserve">Table 1. </w:t>
      </w:r>
    </w:p>
    <w:p w14:paraId="60DC3571" w14:textId="77777777" w:rsidR="00E56313" w:rsidRPr="00E56313" w:rsidRDefault="00E56313" w:rsidP="00E56313">
      <w:pPr>
        <w:rPr>
          <w:rFonts w:cs="Times New Roman"/>
          <w:bCs/>
          <w:i/>
          <w:sz w:val="22"/>
          <w:szCs w:val="22"/>
        </w:rPr>
      </w:pPr>
      <w:r w:rsidRPr="00E56313">
        <w:rPr>
          <w:rFonts w:cs="Times New Roman"/>
          <w:bCs/>
          <w:i/>
          <w:sz w:val="22"/>
          <w:szCs w:val="22"/>
        </w:rPr>
        <w:t>Correlation Analysis</w:t>
      </w:r>
    </w:p>
    <w:tbl>
      <w:tblPr>
        <w:tblW w:w="82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8"/>
        <w:gridCol w:w="2492"/>
        <w:gridCol w:w="1080"/>
        <w:gridCol w:w="1260"/>
        <w:gridCol w:w="1080"/>
        <w:gridCol w:w="1350"/>
      </w:tblGrid>
      <w:tr w:rsidR="00E56313" w:rsidRPr="00E56313" w14:paraId="53888820" w14:textId="77777777" w:rsidTr="00F63480">
        <w:trPr>
          <w:cantSplit/>
        </w:trPr>
        <w:tc>
          <w:tcPr>
            <w:tcW w:w="3440" w:type="dxa"/>
            <w:gridSpan w:val="2"/>
            <w:tcBorders>
              <w:top w:val="single" w:sz="12" w:space="0" w:color="auto"/>
              <w:left w:val="nil"/>
              <w:bottom w:val="single" w:sz="12" w:space="0" w:color="auto"/>
              <w:right w:val="nil"/>
            </w:tcBorders>
            <w:shd w:val="clear" w:color="auto" w:fill="FFFFFF"/>
            <w:vAlign w:val="bottom"/>
          </w:tcPr>
          <w:p w14:paraId="7AFB2071" w14:textId="77777777" w:rsidR="00E56313" w:rsidRPr="00E56313" w:rsidRDefault="00E56313" w:rsidP="00E56313">
            <w:pPr>
              <w:rPr>
                <w:rFonts w:cs="Times New Roman"/>
                <w:b/>
                <w:bCs/>
                <w:sz w:val="22"/>
                <w:szCs w:val="22"/>
              </w:rPr>
            </w:pPr>
            <w:r w:rsidRPr="00E56313">
              <w:rPr>
                <w:rFonts w:cs="Times New Roman"/>
                <w:b/>
                <w:bCs/>
                <w:sz w:val="22"/>
                <w:szCs w:val="22"/>
              </w:rPr>
              <w:t>VARIABLE</w:t>
            </w:r>
          </w:p>
        </w:tc>
        <w:tc>
          <w:tcPr>
            <w:tcW w:w="1080" w:type="dxa"/>
            <w:tcBorders>
              <w:top w:val="single" w:sz="12" w:space="0" w:color="auto"/>
              <w:left w:val="nil"/>
              <w:bottom w:val="single" w:sz="12" w:space="0" w:color="auto"/>
              <w:right w:val="nil"/>
            </w:tcBorders>
            <w:shd w:val="clear" w:color="auto" w:fill="FFFFFF"/>
            <w:vAlign w:val="bottom"/>
          </w:tcPr>
          <w:p w14:paraId="0F187A94" w14:textId="77777777" w:rsidR="00E56313" w:rsidRPr="00E56313" w:rsidRDefault="00E56313" w:rsidP="00E56313">
            <w:pPr>
              <w:rPr>
                <w:rFonts w:cs="Times New Roman"/>
                <w:b/>
                <w:bCs/>
                <w:sz w:val="22"/>
                <w:szCs w:val="22"/>
              </w:rPr>
            </w:pPr>
            <w:r w:rsidRPr="00E56313">
              <w:rPr>
                <w:rFonts w:cs="Times New Roman"/>
                <w:b/>
                <w:bCs/>
                <w:sz w:val="22"/>
                <w:szCs w:val="22"/>
              </w:rPr>
              <w:t>CA</w:t>
            </w:r>
          </w:p>
        </w:tc>
        <w:tc>
          <w:tcPr>
            <w:tcW w:w="1260" w:type="dxa"/>
            <w:tcBorders>
              <w:top w:val="single" w:sz="12" w:space="0" w:color="auto"/>
              <w:left w:val="nil"/>
              <w:bottom w:val="single" w:sz="12" w:space="0" w:color="auto"/>
              <w:right w:val="nil"/>
            </w:tcBorders>
            <w:shd w:val="clear" w:color="auto" w:fill="FFFFFF"/>
            <w:vAlign w:val="bottom"/>
          </w:tcPr>
          <w:p w14:paraId="3923260E" w14:textId="77777777" w:rsidR="00E56313" w:rsidRPr="00E56313" w:rsidRDefault="00E56313" w:rsidP="00E56313">
            <w:pPr>
              <w:rPr>
                <w:rFonts w:cs="Times New Roman"/>
                <w:b/>
                <w:bCs/>
                <w:sz w:val="22"/>
                <w:szCs w:val="22"/>
              </w:rPr>
            </w:pPr>
            <w:r w:rsidRPr="00E56313">
              <w:rPr>
                <w:rFonts w:cs="Times New Roman"/>
                <w:b/>
                <w:bCs/>
                <w:sz w:val="22"/>
                <w:szCs w:val="22"/>
              </w:rPr>
              <w:t>SUBN</w:t>
            </w:r>
          </w:p>
        </w:tc>
        <w:tc>
          <w:tcPr>
            <w:tcW w:w="1080" w:type="dxa"/>
            <w:tcBorders>
              <w:top w:val="single" w:sz="12" w:space="0" w:color="auto"/>
              <w:left w:val="nil"/>
              <w:bottom w:val="single" w:sz="12" w:space="0" w:color="auto"/>
              <w:right w:val="nil"/>
            </w:tcBorders>
            <w:shd w:val="clear" w:color="auto" w:fill="FFFFFF"/>
            <w:vAlign w:val="bottom"/>
          </w:tcPr>
          <w:p w14:paraId="1477B9F6" w14:textId="77777777" w:rsidR="00E56313" w:rsidRPr="00E56313" w:rsidRDefault="00E56313" w:rsidP="00E56313">
            <w:pPr>
              <w:rPr>
                <w:rFonts w:cs="Times New Roman"/>
                <w:b/>
                <w:bCs/>
                <w:sz w:val="22"/>
                <w:szCs w:val="22"/>
              </w:rPr>
            </w:pPr>
            <w:r w:rsidRPr="00E56313">
              <w:rPr>
                <w:rFonts w:cs="Times New Roman"/>
                <w:b/>
                <w:bCs/>
                <w:sz w:val="22"/>
                <w:szCs w:val="22"/>
              </w:rPr>
              <w:t>WILLP</w:t>
            </w:r>
          </w:p>
        </w:tc>
        <w:tc>
          <w:tcPr>
            <w:tcW w:w="1350" w:type="dxa"/>
            <w:tcBorders>
              <w:top w:val="single" w:sz="12" w:space="0" w:color="auto"/>
              <w:left w:val="nil"/>
              <w:bottom w:val="single" w:sz="12" w:space="0" w:color="auto"/>
              <w:right w:val="nil"/>
            </w:tcBorders>
            <w:shd w:val="clear" w:color="auto" w:fill="FFFFFF"/>
            <w:vAlign w:val="bottom"/>
          </w:tcPr>
          <w:p w14:paraId="5025C1CC" w14:textId="77777777" w:rsidR="00E56313" w:rsidRPr="00E56313" w:rsidRDefault="00E56313" w:rsidP="00E56313">
            <w:pPr>
              <w:rPr>
                <w:rFonts w:cs="Times New Roman"/>
                <w:b/>
                <w:bCs/>
                <w:sz w:val="22"/>
                <w:szCs w:val="22"/>
              </w:rPr>
            </w:pPr>
            <w:r w:rsidRPr="00E56313">
              <w:rPr>
                <w:rFonts w:cs="Times New Roman"/>
                <w:b/>
                <w:bCs/>
                <w:sz w:val="22"/>
                <w:szCs w:val="22"/>
              </w:rPr>
              <w:t>GIP</w:t>
            </w:r>
          </w:p>
        </w:tc>
      </w:tr>
      <w:tr w:rsidR="00E56313" w:rsidRPr="00E56313" w14:paraId="0139F830" w14:textId="77777777" w:rsidTr="00F63480">
        <w:trPr>
          <w:cantSplit/>
        </w:trPr>
        <w:tc>
          <w:tcPr>
            <w:tcW w:w="948" w:type="dxa"/>
            <w:vMerge w:val="restart"/>
            <w:tcBorders>
              <w:top w:val="single" w:sz="12" w:space="0" w:color="auto"/>
              <w:left w:val="nil"/>
              <w:bottom w:val="nil"/>
              <w:right w:val="nil"/>
            </w:tcBorders>
            <w:shd w:val="clear" w:color="auto" w:fill="FFFFFF"/>
          </w:tcPr>
          <w:p w14:paraId="37DB055F" w14:textId="77777777" w:rsidR="00E56313" w:rsidRPr="00E56313" w:rsidRDefault="00E56313" w:rsidP="00E56313">
            <w:pPr>
              <w:rPr>
                <w:rFonts w:cs="Times New Roman"/>
                <w:bCs/>
                <w:sz w:val="22"/>
                <w:szCs w:val="22"/>
              </w:rPr>
            </w:pPr>
            <w:r w:rsidRPr="00E56313">
              <w:rPr>
                <w:rFonts w:cs="Times New Roman"/>
                <w:bCs/>
                <w:sz w:val="22"/>
                <w:szCs w:val="22"/>
              </w:rPr>
              <w:t>CA</w:t>
            </w:r>
          </w:p>
        </w:tc>
        <w:tc>
          <w:tcPr>
            <w:tcW w:w="2492" w:type="dxa"/>
            <w:tcBorders>
              <w:top w:val="single" w:sz="12" w:space="0" w:color="auto"/>
              <w:left w:val="nil"/>
              <w:bottom w:val="nil"/>
              <w:right w:val="nil"/>
            </w:tcBorders>
            <w:shd w:val="clear" w:color="auto" w:fill="FFFFFF"/>
          </w:tcPr>
          <w:p w14:paraId="6869EDDE" w14:textId="77777777" w:rsidR="00E56313" w:rsidRPr="00E56313" w:rsidRDefault="00E56313" w:rsidP="00E56313">
            <w:pPr>
              <w:rPr>
                <w:rFonts w:cs="Times New Roman"/>
                <w:bCs/>
                <w:sz w:val="22"/>
                <w:szCs w:val="22"/>
              </w:rPr>
            </w:pPr>
            <w:r w:rsidRPr="00E56313">
              <w:rPr>
                <w:rFonts w:cs="Times New Roman"/>
                <w:bCs/>
                <w:sz w:val="22"/>
                <w:szCs w:val="22"/>
              </w:rPr>
              <w:t>Pearson Correlation</w:t>
            </w:r>
          </w:p>
        </w:tc>
        <w:tc>
          <w:tcPr>
            <w:tcW w:w="1080" w:type="dxa"/>
            <w:tcBorders>
              <w:top w:val="single" w:sz="12" w:space="0" w:color="auto"/>
              <w:left w:val="nil"/>
              <w:bottom w:val="nil"/>
              <w:right w:val="nil"/>
            </w:tcBorders>
            <w:shd w:val="clear" w:color="auto" w:fill="FFFFFF"/>
            <w:vAlign w:val="center"/>
          </w:tcPr>
          <w:p w14:paraId="42D74E1E"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1260" w:type="dxa"/>
            <w:tcBorders>
              <w:top w:val="single" w:sz="12" w:space="0" w:color="auto"/>
              <w:left w:val="nil"/>
              <w:bottom w:val="nil"/>
              <w:right w:val="nil"/>
            </w:tcBorders>
            <w:shd w:val="clear" w:color="auto" w:fill="FFFFFF"/>
            <w:vAlign w:val="center"/>
          </w:tcPr>
          <w:p w14:paraId="58DCA106" w14:textId="77777777" w:rsidR="00E56313" w:rsidRPr="00E56313" w:rsidRDefault="00E56313" w:rsidP="00E56313">
            <w:pPr>
              <w:rPr>
                <w:rFonts w:cs="Times New Roman"/>
                <w:bCs/>
                <w:sz w:val="22"/>
                <w:szCs w:val="22"/>
              </w:rPr>
            </w:pPr>
            <w:r w:rsidRPr="00E56313">
              <w:rPr>
                <w:rFonts w:cs="Times New Roman"/>
                <w:bCs/>
                <w:sz w:val="22"/>
                <w:szCs w:val="22"/>
              </w:rPr>
              <w:t>.321</w:t>
            </w:r>
            <w:r w:rsidRPr="00E56313">
              <w:rPr>
                <w:rFonts w:cs="Times New Roman"/>
                <w:bCs/>
                <w:sz w:val="22"/>
                <w:szCs w:val="22"/>
                <w:vertAlign w:val="superscript"/>
              </w:rPr>
              <w:t>**</w:t>
            </w:r>
          </w:p>
        </w:tc>
        <w:tc>
          <w:tcPr>
            <w:tcW w:w="1080" w:type="dxa"/>
            <w:tcBorders>
              <w:top w:val="single" w:sz="12" w:space="0" w:color="auto"/>
              <w:left w:val="nil"/>
              <w:bottom w:val="nil"/>
              <w:right w:val="nil"/>
            </w:tcBorders>
            <w:shd w:val="clear" w:color="auto" w:fill="FFFFFF"/>
            <w:vAlign w:val="center"/>
          </w:tcPr>
          <w:p w14:paraId="231A5200" w14:textId="77777777" w:rsidR="00E56313" w:rsidRPr="00E56313" w:rsidRDefault="00E56313" w:rsidP="00E56313">
            <w:pPr>
              <w:rPr>
                <w:rFonts w:cs="Times New Roman"/>
                <w:bCs/>
                <w:sz w:val="22"/>
                <w:szCs w:val="22"/>
              </w:rPr>
            </w:pPr>
            <w:r w:rsidRPr="00E56313">
              <w:rPr>
                <w:rFonts w:cs="Times New Roman"/>
                <w:bCs/>
                <w:sz w:val="22"/>
                <w:szCs w:val="22"/>
              </w:rPr>
              <w:t>.445</w:t>
            </w:r>
            <w:r w:rsidRPr="00E56313">
              <w:rPr>
                <w:rFonts w:cs="Times New Roman"/>
                <w:bCs/>
                <w:sz w:val="22"/>
                <w:szCs w:val="22"/>
                <w:vertAlign w:val="superscript"/>
              </w:rPr>
              <w:t>**</w:t>
            </w:r>
          </w:p>
        </w:tc>
        <w:tc>
          <w:tcPr>
            <w:tcW w:w="1350" w:type="dxa"/>
            <w:tcBorders>
              <w:top w:val="single" w:sz="12" w:space="0" w:color="auto"/>
              <w:left w:val="nil"/>
              <w:bottom w:val="nil"/>
              <w:right w:val="nil"/>
            </w:tcBorders>
            <w:shd w:val="clear" w:color="auto" w:fill="FFFFFF"/>
            <w:vAlign w:val="center"/>
          </w:tcPr>
          <w:p w14:paraId="43C89647" w14:textId="77777777" w:rsidR="00E56313" w:rsidRPr="00E56313" w:rsidRDefault="00E56313" w:rsidP="00E56313">
            <w:pPr>
              <w:rPr>
                <w:rFonts w:cs="Times New Roman"/>
                <w:bCs/>
                <w:sz w:val="22"/>
                <w:szCs w:val="22"/>
              </w:rPr>
            </w:pPr>
            <w:r w:rsidRPr="00E56313">
              <w:rPr>
                <w:rFonts w:cs="Times New Roman"/>
                <w:bCs/>
                <w:sz w:val="22"/>
                <w:szCs w:val="22"/>
              </w:rPr>
              <w:t>.416</w:t>
            </w:r>
            <w:r w:rsidRPr="00E56313">
              <w:rPr>
                <w:rFonts w:cs="Times New Roman"/>
                <w:bCs/>
                <w:sz w:val="22"/>
                <w:szCs w:val="22"/>
                <w:vertAlign w:val="superscript"/>
              </w:rPr>
              <w:t>**</w:t>
            </w:r>
          </w:p>
        </w:tc>
      </w:tr>
      <w:tr w:rsidR="00E56313" w:rsidRPr="00E56313" w14:paraId="17F77071" w14:textId="77777777" w:rsidTr="00F63480">
        <w:trPr>
          <w:cantSplit/>
        </w:trPr>
        <w:tc>
          <w:tcPr>
            <w:tcW w:w="948" w:type="dxa"/>
            <w:vMerge/>
            <w:tcBorders>
              <w:top w:val="nil"/>
              <w:left w:val="nil"/>
              <w:bottom w:val="nil"/>
              <w:right w:val="nil"/>
            </w:tcBorders>
            <w:shd w:val="clear" w:color="auto" w:fill="FFFFFF"/>
          </w:tcPr>
          <w:p w14:paraId="27F30D79"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3258B21A" w14:textId="77777777" w:rsidR="00E56313" w:rsidRPr="00E56313" w:rsidRDefault="00E56313" w:rsidP="00E56313">
            <w:pPr>
              <w:rPr>
                <w:rFonts w:cs="Times New Roman"/>
                <w:bCs/>
                <w:sz w:val="22"/>
                <w:szCs w:val="22"/>
              </w:rPr>
            </w:pPr>
            <w:r w:rsidRPr="00E56313">
              <w:rPr>
                <w:rFonts w:cs="Times New Roman"/>
                <w:bCs/>
                <w:sz w:val="22"/>
                <w:szCs w:val="22"/>
              </w:rPr>
              <w:t>Sig. (2-tailed)</w:t>
            </w:r>
          </w:p>
        </w:tc>
        <w:tc>
          <w:tcPr>
            <w:tcW w:w="1080" w:type="dxa"/>
            <w:tcBorders>
              <w:top w:val="nil"/>
              <w:left w:val="nil"/>
              <w:bottom w:val="nil"/>
              <w:right w:val="nil"/>
            </w:tcBorders>
            <w:shd w:val="clear" w:color="auto" w:fill="FFFFFF"/>
            <w:vAlign w:val="center"/>
          </w:tcPr>
          <w:p w14:paraId="0FB557F1" w14:textId="77777777" w:rsidR="00E56313" w:rsidRPr="00E56313" w:rsidRDefault="00E56313" w:rsidP="00E56313">
            <w:pPr>
              <w:rPr>
                <w:rFonts w:cs="Times New Roman"/>
                <w:bCs/>
                <w:sz w:val="22"/>
                <w:szCs w:val="22"/>
              </w:rPr>
            </w:pPr>
          </w:p>
        </w:tc>
        <w:tc>
          <w:tcPr>
            <w:tcW w:w="1260" w:type="dxa"/>
            <w:tcBorders>
              <w:top w:val="nil"/>
              <w:left w:val="nil"/>
              <w:bottom w:val="nil"/>
              <w:right w:val="nil"/>
            </w:tcBorders>
            <w:shd w:val="clear" w:color="auto" w:fill="FFFFFF"/>
            <w:vAlign w:val="center"/>
          </w:tcPr>
          <w:p w14:paraId="3AFB7522"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080" w:type="dxa"/>
            <w:tcBorders>
              <w:top w:val="nil"/>
              <w:left w:val="nil"/>
              <w:bottom w:val="nil"/>
              <w:right w:val="nil"/>
            </w:tcBorders>
            <w:shd w:val="clear" w:color="auto" w:fill="FFFFFF"/>
            <w:vAlign w:val="center"/>
          </w:tcPr>
          <w:p w14:paraId="5BC95A80"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350" w:type="dxa"/>
            <w:tcBorders>
              <w:top w:val="nil"/>
              <w:left w:val="nil"/>
              <w:bottom w:val="nil"/>
              <w:right w:val="nil"/>
            </w:tcBorders>
            <w:shd w:val="clear" w:color="auto" w:fill="FFFFFF"/>
            <w:vAlign w:val="center"/>
          </w:tcPr>
          <w:p w14:paraId="56A1CB0C"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69258A0E" w14:textId="77777777" w:rsidTr="00F63480">
        <w:trPr>
          <w:cantSplit/>
        </w:trPr>
        <w:tc>
          <w:tcPr>
            <w:tcW w:w="948" w:type="dxa"/>
            <w:vMerge/>
            <w:tcBorders>
              <w:top w:val="nil"/>
              <w:left w:val="nil"/>
              <w:bottom w:val="nil"/>
              <w:right w:val="nil"/>
            </w:tcBorders>
            <w:shd w:val="clear" w:color="auto" w:fill="FFFFFF"/>
          </w:tcPr>
          <w:p w14:paraId="0AA153CE"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6A18B484" w14:textId="77777777" w:rsidR="00E56313" w:rsidRPr="00E56313" w:rsidRDefault="00E56313" w:rsidP="00E56313">
            <w:pPr>
              <w:rPr>
                <w:rFonts w:cs="Times New Roman"/>
                <w:bCs/>
                <w:sz w:val="22"/>
                <w:szCs w:val="22"/>
              </w:rPr>
            </w:pPr>
            <w:r w:rsidRPr="00E56313">
              <w:rPr>
                <w:rFonts w:cs="Times New Roman"/>
                <w:bCs/>
                <w:sz w:val="22"/>
                <w:szCs w:val="22"/>
              </w:rPr>
              <w:t>N</w:t>
            </w:r>
          </w:p>
        </w:tc>
        <w:tc>
          <w:tcPr>
            <w:tcW w:w="1080" w:type="dxa"/>
            <w:tcBorders>
              <w:top w:val="nil"/>
              <w:left w:val="nil"/>
              <w:bottom w:val="nil"/>
              <w:right w:val="nil"/>
            </w:tcBorders>
            <w:shd w:val="clear" w:color="auto" w:fill="FFFFFF"/>
            <w:vAlign w:val="center"/>
          </w:tcPr>
          <w:p w14:paraId="50D20C03"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260" w:type="dxa"/>
            <w:tcBorders>
              <w:top w:val="nil"/>
              <w:left w:val="nil"/>
              <w:bottom w:val="nil"/>
              <w:right w:val="nil"/>
            </w:tcBorders>
            <w:shd w:val="clear" w:color="auto" w:fill="FFFFFF"/>
            <w:vAlign w:val="center"/>
          </w:tcPr>
          <w:p w14:paraId="2523A3B0"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080" w:type="dxa"/>
            <w:tcBorders>
              <w:top w:val="nil"/>
              <w:left w:val="nil"/>
              <w:bottom w:val="nil"/>
              <w:right w:val="nil"/>
            </w:tcBorders>
            <w:shd w:val="clear" w:color="auto" w:fill="FFFFFF"/>
            <w:vAlign w:val="center"/>
          </w:tcPr>
          <w:p w14:paraId="634B4D2F"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350" w:type="dxa"/>
            <w:tcBorders>
              <w:top w:val="nil"/>
              <w:left w:val="nil"/>
              <w:bottom w:val="nil"/>
              <w:right w:val="nil"/>
            </w:tcBorders>
            <w:shd w:val="clear" w:color="auto" w:fill="FFFFFF"/>
            <w:vAlign w:val="center"/>
          </w:tcPr>
          <w:p w14:paraId="5ADCF165" w14:textId="77777777" w:rsidR="00E56313" w:rsidRPr="00E56313" w:rsidRDefault="00E56313" w:rsidP="00E56313">
            <w:pPr>
              <w:rPr>
                <w:rFonts w:cs="Times New Roman"/>
                <w:bCs/>
                <w:sz w:val="22"/>
                <w:szCs w:val="22"/>
              </w:rPr>
            </w:pPr>
            <w:r w:rsidRPr="00E56313">
              <w:rPr>
                <w:rFonts w:cs="Times New Roman"/>
                <w:bCs/>
                <w:sz w:val="22"/>
                <w:szCs w:val="22"/>
              </w:rPr>
              <w:t>388</w:t>
            </w:r>
          </w:p>
        </w:tc>
      </w:tr>
      <w:tr w:rsidR="00E56313" w:rsidRPr="00E56313" w14:paraId="28E607E5" w14:textId="77777777" w:rsidTr="00F63480">
        <w:trPr>
          <w:cantSplit/>
        </w:trPr>
        <w:tc>
          <w:tcPr>
            <w:tcW w:w="948" w:type="dxa"/>
            <w:vMerge w:val="restart"/>
            <w:tcBorders>
              <w:top w:val="nil"/>
              <w:left w:val="nil"/>
              <w:bottom w:val="nil"/>
              <w:right w:val="nil"/>
            </w:tcBorders>
            <w:shd w:val="clear" w:color="auto" w:fill="FFFFFF"/>
          </w:tcPr>
          <w:p w14:paraId="602E172C" w14:textId="77777777" w:rsidR="00E56313" w:rsidRPr="00E56313" w:rsidRDefault="00E56313" w:rsidP="00E56313">
            <w:pPr>
              <w:rPr>
                <w:rFonts w:cs="Times New Roman"/>
                <w:bCs/>
                <w:sz w:val="22"/>
                <w:szCs w:val="22"/>
              </w:rPr>
            </w:pPr>
            <w:r w:rsidRPr="00E56313">
              <w:rPr>
                <w:rFonts w:cs="Times New Roman"/>
                <w:bCs/>
                <w:sz w:val="22"/>
                <w:szCs w:val="22"/>
              </w:rPr>
              <w:t>SUBN</w:t>
            </w:r>
          </w:p>
        </w:tc>
        <w:tc>
          <w:tcPr>
            <w:tcW w:w="2492" w:type="dxa"/>
            <w:tcBorders>
              <w:top w:val="nil"/>
              <w:left w:val="nil"/>
              <w:bottom w:val="nil"/>
              <w:right w:val="nil"/>
            </w:tcBorders>
            <w:shd w:val="clear" w:color="auto" w:fill="FFFFFF"/>
          </w:tcPr>
          <w:p w14:paraId="633BD5E3" w14:textId="77777777" w:rsidR="00E56313" w:rsidRPr="00E56313" w:rsidRDefault="00E56313" w:rsidP="00E56313">
            <w:pPr>
              <w:rPr>
                <w:rFonts w:cs="Times New Roman"/>
                <w:bCs/>
                <w:sz w:val="22"/>
                <w:szCs w:val="22"/>
              </w:rPr>
            </w:pPr>
            <w:r w:rsidRPr="00E56313">
              <w:rPr>
                <w:rFonts w:cs="Times New Roman"/>
                <w:bCs/>
                <w:sz w:val="22"/>
                <w:szCs w:val="22"/>
              </w:rPr>
              <w:t>Pearson Correlation</w:t>
            </w:r>
          </w:p>
        </w:tc>
        <w:tc>
          <w:tcPr>
            <w:tcW w:w="1080" w:type="dxa"/>
            <w:tcBorders>
              <w:top w:val="nil"/>
              <w:left w:val="nil"/>
              <w:bottom w:val="nil"/>
              <w:right w:val="nil"/>
            </w:tcBorders>
            <w:shd w:val="clear" w:color="auto" w:fill="FFFFFF"/>
            <w:vAlign w:val="center"/>
          </w:tcPr>
          <w:p w14:paraId="09895CAE" w14:textId="77777777" w:rsidR="00E56313" w:rsidRPr="00E56313" w:rsidRDefault="00E56313" w:rsidP="00E56313">
            <w:pPr>
              <w:rPr>
                <w:rFonts w:cs="Times New Roman"/>
                <w:bCs/>
                <w:sz w:val="22"/>
                <w:szCs w:val="22"/>
              </w:rPr>
            </w:pPr>
            <w:r w:rsidRPr="00E56313">
              <w:rPr>
                <w:rFonts w:cs="Times New Roman"/>
                <w:bCs/>
                <w:sz w:val="22"/>
                <w:szCs w:val="22"/>
              </w:rPr>
              <w:t>.321</w:t>
            </w:r>
            <w:r w:rsidRPr="00E56313">
              <w:rPr>
                <w:rFonts w:cs="Times New Roman"/>
                <w:bCs/>
                <w:sz w:val="22"/>
                <w:szCs w:val="22"/>
                <w:vertAlign w:val="superscript"/>
              </w:rPr>
              <w:t>**</w:t>
            </w:r>
          </w:p>
        </w:tc>
        <w:tc>
          <w:tcPr>
            <w:tcW w:w="1260" w:type="dxa"/>
            <w:tcBorders>
              <w:top w:val="nil"/>
              <w:left w:val="nil"/>
              <w:bottom w:val="nil"/>
              <w:right w:val="nil"/>
            </w:tcBorders>
            <w:shd w:val="clear" w:color="auto" w:fill="FFFFFF"/>
            <w:vAlign w:val="center"/>
          </w:tcPr>
          <w:p w14:paraId="75B5324F"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1080" w:type="dxa"/>
            <w:tcBorders>
              <w:top w:val="nil"/>
              <w:left w:val="nil"/>
              <w:bottom w:val="nil"/>
              <w:right w:val="nil"/>
            </w:tcBorders>
            <w:shd w:val="clear" w:color="auto" w:fill="FFFFFF"/>
            <w:vAlign w:val="center"/>
          </w:tcPr>
          <w:p w14:paraId="4357FC42" w14:textId="77777777" w:rsidR="00E56313" w:rsidRPr="00E56313" w:rsidRDefault="00E56313" w:rsidP="00E56313">
            <w:pPr>
              <w:rPr>
                <w:rFonts w:cs="Times New Roman"/>
                <w:bCs/>
                <w:sz w:val="22"/>
                <w:szCs w:val="22"/>
              </w:rPr>
            </w:pPr>
            <w:r w:rsidRPr="00E56313">
              <w:rPr>
                <w:rFonts w:cs="Times New Roman"/>
                <w:bCs/>
                <w:sz w:val="22"/>
                <w:szCs w:val="22"/>
              </w:rPr>
              <w:t>.166</w:t>
            </w:r>
            <w:r w:rsidRPr="00E56313">
              <w:rPr>
                <w:rFonts w:cs="Times New Roman"/>
                <w:bCs/>
                <w:sz w:val="22"/>
                <w:szCs w:val="22"/>
                <w:vertAlign w:val="superscript"/>
              </w:rPr>
              <w:t>**</w:t>
            </w:r>
          </w:p>
        </w:tc>
        <w:tc>
          <w:tcPr>
            <w:tcW w:w="1350" w:type="dxa"/>
            <w:tcBorders>
              <w:top w:val="nil"/>
              <w:left w:val="nil"/>
              <w:bottom w:val="nil"/>
              <w:right w:val="nil"/>
            </w:tcBorders>
            <w:shd w:val="clear" w:color="auto" w:fill="FFFFFF"/>
            <w:vAlign w:val="center"/>
          </w:tcPr>
          <w:p w14:paraId="217537AF" w14:textId="77777777" w:rsidR="00E56313" w:rsidRPr="00E56313" w:rsidRDefault="00E56313" w:rsidP="00E56313">
            <w:pPr>
              <w:rPr>
                <w:rFonts w:cs="Times New Roman"/>
                <w:bCs/>
                <w:sz w:val="22"/>
                <w:szCs w:val="22"/>
              </w:rPr>
            </w:pPr>
            <w:r w:rsidRPr="00E56313">
              <w:rPr>
                <w:rFonts w:cs="Times New Roman"/>
                <w:bCs/>
                <w:sz w:val="22"/>
                <w:szCs w:val="22"/>
              </w:rPr>
              <w:t>.279</w:t>
            </w:r>
            <w:r w:rsidRPr="00E56313">
              <w:rPr>
                <w:rFonts w:cs="Times New Roman"/>
                <w:bCs/>
                <w:sz w:val="22"/>
                <w:szCs w:val="22"/>
                <w:vertAlign w:val="superscript"/>
              </w:rPr>
              <w:t>**</w:t>
            </w:r>
          </w:p>
        </w:tc>
      </w:tr>
      <w:tr w:rsidR="00E56313" w:rsidRPr="00E56313" w14:paraId="5FEE4DCA" w14:textId="77777777" w:rsidTr="00F63480">
        <w:trPr>
          <w:cantSplit/>
        </w:trPr>
        <w:tc>
          <w:tcPr>
            <w:tcW w:w="948" w:type="dxa"/>
            <w:vMerge/>
            <w:tcBorders>
              <w:top w:val="nil"/>
              <w:left w:val="nil"/>
              <w:bottom w:val="nil"/>
              <w:right w:val="nil"/>
            </w:tcBorders>
            <w:shd w:val="clear" w:color="auto" w:fill="FFFFFF"/>
          </w:tcPr>
          <w:p w14:paraId="1BC9B56F"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2442239D" w14:textId="77777777" w:rsidR="00E56313" w:rsidRPr="00E56313" w:rsidRDefault="00E56313" w:rsidP="00E56313">
            <w:pPr>
              <w:rPr>
                <w:rFonts w:cs="Times New Roman"/>
                <w:bCs/>
                <w:sz w:val="22"/>
                <w:szCs w:val="22"/>
              </w:rPr>
            </w:pPr>
            <w:r w:rsidRPr="00E56313">
              <w:rPr>
                <w:rFonts w:cs="Times New Roman"/>
                <w:bCs/>
                <w:sz w:val="22"/>
                <w:szCs w:val="22"/>
              </w:rPr>
              <w:t>Sig. (2-tailed)</w:t>
            </w:r>
          </w:p>
        </w:tc>
        <w:tc>
          <w:tcPr>
            <w:tcW w:w="1080" w:type="dxa"/>
            <w:tcBorders>
              <w:top w:val="nil"/>
              <w:left w:val="nil"/>
              <w:bottom w:val="nil"/>
              <w:right w:val="nil"/>
            </w:tcBorders>
            <w:shd w:val="clear" w:color="auto" w:fill="FFFFFF"/>
            <w:vAlign w:val="center"/>
          </w:tcPr>
          <w:p w14:paraId="185D1208"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260" w:type="dxa"/>
            <w:tcBorders>
              <w:top w:val="nil"/>
              <w:left w:val="nil"/>
              <w:bottom w:val="nil"/>
              <w:right w:val="nil"/>
            </w:tcBorders>
            <w:shd w:val="clear" w:color="auto" w:fill="FFFFFF"/>
            <w:vAlign w:val="center"/>
          </w:tcPr>
          <w:p w14:paraId="45898822" w14:textId="77777777" w:rsidR="00E56313" w:rsidRPr="00E56313" w:rsidRDefault="00E56313" w:rsidP="00E56313">
            <w:pPr>
              <w:rPr>
                <w:rFonts w:cs="Times New Roman"/>
                <w:bCs/>
                <w:sz w:val="22"/>
                <w:szCs w:val="22"/>
              </w:rPr>
            </w:pPr>
          </w:p>
        </w:tc>
        <w:tc>
          <w:tcPr>
            <w:tcW w:w="1080" w:type="dxa"/>
            <w:tcBorders>
              <w:top w:val="nil"/>
              <w:left w:val="nil"/>
              <w:bottom w:val="nil"/>
              <w:right w:val="nil"/>
            </w:tcBorders>
            <w:shd w:val="clear" w:color="auto" w:fill="FFFFFF"/>
            <w:vAlign w:val="center"/>
          </w:tcPr>
          <w:p w14:paraId="48386847" w14:textId="77777777" w:rsidR="00E56313" w:rsidRPr="00E56313" w:rsidRDefault="00E56313" w:rsidP="00E56313">
            <w:pPr>
              <w:rPr>
                <w:rFonts w:cs="Times New Roman"/>
                <w:bCs/>
                <w:sz w:val="22"/>
                <w:szCs w:val="22"/>
              </w:rPr>
            </w:pPr>
            <w:r w:rsidRPr="00E56313">
              <w:rPr>
                <w:rFonts w:cs="Times New Roman"/>
                <w:bCs/>
                <w:sz w:val="22"/>
                <w:szCs w:val="22"/>
              </w:rPr>
              <w:t>.001</w:t>
            </w:r>
          </w:p>
        </w:tc>
        <w:tc>
          <w:tcPr>
            <w:tcW w:w="1350" w:type="dxa"/>
            <w:tcBorders>
              <w:top w:val="nil"/>
              <w:left w:val="nil"/>
              <w:bottom w:val="nil"/>
              <w:right w:val="nil"/>
            </w:tcBorders>
            <w:shd w:val="clear" w:color="auto" w:fill="FFFFFF"/>
            <w:vAlign w:val="center"/>
          </w:tcPr>
          <w:p w14:paraId="37054329"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2A749FFB" w14:textId="77777777" w:rsidTr="00F63480">
        <w:trPr>
          <w:cantSplit/>
        </w:trPr>
        <w:tc>
          <w:tcPr>
            <w:tcW w:w="948" w:type="dxa"/>
            <w:vMerge/>
            <w:tcBorders>
              <w:top w:val="nil"/>
              <w:left w:val="nil"/>
              <w:bottom w:val="nil"/>
              <w:right w:val="nil"/>
            </w:tcBorders>
            <w:shd w:val="clear" w:color="auto" w:fill="FFFFFF"/>
          </w:tcPr>
          <w:p w14:paraId="542B2CAD"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175DD113" w14:textId="77777777" w:rsidR="00E56313" w:rsidRPr="00E56313" w:rsidRDefault="00E56313" w:rsidP="00E56313">
            <w:pPr>
              <w:rPr>
                <w:rFonts w:cs="Times New Roman"/>
                <w:bCs/>
                <w:sz w:val="22"/>
                <w:szCs w:val="22"/>
              </w:rPr>
            </w:pPr>
            <w:r w:rsidRPr="00E56313">
              <w:rPr>
                <w:rFonts w:cs="Times New Roman"/>
                <w:bCs/>
                <w:sz w:val="22"/>
                <w:szCs w:val="22"/>
              </w:rPr>
              <w:t>N</w:t>
            </w:r>
          </w:p>
        </w:tc>
        <w:tc>
          <w:tcPr>
            <w:tcW w:w="1080" w:type="dxa"/>
            <w:tcBorders>
              <w:top w:val="nil"/>
              <w:left w:val="nil"/>
              <w:bottom w:val="nil"/>
              <w:right w:val="nil"/>
            </w:tcBorders>
            <w:shd w:val="clear" w:color="auto" w:fill="FFFFFF"/>
            <w:vAlign w:val="center"/>
          </w:tcPr>
          <w:p w14:paraId="052A92C8"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260" w:type="dxa"/>
            <w:tcBorders>
              <w:top w:val="nil"/>
              <w:left w:val="nil"/>
              <w:bottom w:val="nil"/>
              <w:right w:val="nil"/>
            </w:tcBorders>
            <w:shd w:val="clear" w:color="auto" w:fill="FFFFFF"/>
            <w:vAlign w:val="center"/>
          </w:tcPr>
          <w:p w14:paraId="4D4DC411"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080" w:type="dxa"/>
            <w:tcBorders>
              <w:top w:val="nil"/>
              <w:left w:val="nil"/>
              <w:bottom w:val="nil"/>
              <w:right w:val="nil"/>
            </w:tcBorders>
            <w:shd w:val="clear" w:color="auto" w:fill="FFFFFF"/>
            <w:vAlign w:val="center"/>
          </w:tcPr>
          <w:p w14:paraId="3B67AFF8"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350" w:type="dxa"/>
            <w:tcBorders>
              <w:top w:val="nil"/>
              <w:left w:val="nil"/>
              <w:bottom w:val="nil"/>
              <w:right w:val="nil"/>
            </w:tcBorders>
            <w:shd w:val="clear" w:color="auto" w:fill="FFFFFF"/>
            <w:vAlign w:val="center"/>
          </w:tcPr>
          <w:p w14:paraId="13D6973C" w14:textId="77777777" w:rsidR="00E56313" w:rsidRPr="00E56313" w:rsidRDefault="00E56313" w:rsidP="00E56313">
            <w:pPr>
              <w:rPr>
                <w:rFonts w:cs="Times New Roman"/>
                <w:bCs/>
                <w:sz w:val="22"/>
                <w:szCs w:val="22"/>
              </w:rPr>
            </w:pPr>
            <w:r w:rsidRPr="00E56313">
              <w:rPr>
                <w:rFonts w:cs="Times New Roman"/>
                <w:bCs/>
                <w:sz w:val="22"/>
                <w:szCs w:val="22"/>
              </w:rPr>
              <w:t>388</w:t>
            </w:r>
          </w:p>
        </w:tc>
      </w:tr>
      <w:tr w:rsidR="00E56313" w:rsidRPr="00E56313" w14:paraId="449BBC23" w14:textId="77777777" w:rsidTr="00F63480">
        <w:trPr>
          <w:cantSplit/>
        </w:trPr>
        <w:tc>
          <w:tcPr>
            <w:tcW w:w="948" w:type="dxa"/>
            <w:vMerge w:val="restart"/>
            <w:tcBorders>
              <w:top w:val="nil"/>
              <w:left w:val="nil"/>
              <w:bottom w:val="nil"/>
              <w:right w:val="nil"/>
            </w:tcBorders>
            <w:shd w:val="clear" w:color="auto" w:fill="FFFFFF"/>
          </w:tcPr>
          <w:p w14:paraId="572A2916" w14:textId="77777777" w:rsidR="00E56313" w:rsidRPr="00E56313" w:rsidRDefault="00E56313" w:rsidP="00E56313">
            <w:pPr>
              <w:rPr>
                <w:rFonts w:cs="Times New Roman"/>
                <w:bCs/>
                <w:sz w:val="22"/>
                <w:szCs w:val="22"/>
              </w:rPr>
            </w:pPr>
            <w:r w:rsidRPr="00E56313">
              <w:rPr>
                <w:rFonts w:cs="Times New Roman"/>
                <w:bCs/>
                <w:sz w:val="22"/>
                <w:szCs w:val="22"/>
              </w:rPr>
              <w:t>WILLP</w:t>
            </w:r>
          </w:p>
        </w:tc>
        <w:tc>
          <w:tcPr>
            <w:tcW w:w="2492" w:type="dxa"/>
            <w:tcBorders>
              <w:top w:val="nil"/>
              <w:left w:val="nil"/>
              <w:bottom w:val="nil"/>
              <w:right w:val="nil"/>
            </w:tcBorders>
            <w:shd w:val="clear" w:color="auto" w:fill="FFFFFF"/>
          </w:tcPr>
          <w:p w14:paraId="07772715" w14:textId="77777777" w:rsidR="00E56313" w:rsidRPr="00E56313" w:rsidRDefault="00E56313" w:rsidP="00E56313">
            <w:pPr>
              <w:rPr>
                <w:rFonts w:cs="Times New Roman"/>
                <w:bCs/>
                <w:sz w:val="22"/>
                <w:szCs w:val="22"/>
              </w:rPr>
            </w:pPr>
            <w:r w:rsidRPr="00E56313">
              <w:rPr>
                <w:rFonts w:cs="Times New Roman"/>
                <w:bCs/>
                <w:sz w:val="22"/>
                <w:szCs w:val="22"/>
              </w:rPr>
              <w:t>Pearson Correlation</w:t>
            </w:r>
          </w:p>
        </w:tc>
        <w:tc>
          <w:tcPr>
            <w:tcW w:w="1080" w:type="dxa"/>
            <w:tcBorders>
              <w:top w:val="nil"/>
              <w:left w:val="nil"/>
              <w:bottom w:val="nil"/>
              <w:right w:val="nil"/>
            </w:tcBorders>
            <w:shd w:val="clear" w:color="auto" w:fill="FFFFFF"/>
            <w:vAlign w:val="center"/>
          </w:tcPr>
          <w:p w14:paraId="01230E4D" w14:textId="77777777" w:rsidR="00E56313" w:rsidRPr="00E56313" w:rsidRDefault="00E56313" w:rsidP="00E56313">
            <w:pPr>
              <w:rPr>
                <w:rFonts w:cs="Times New Roman"/>
                <w:bCs/>
                <w:sz w:val="22"/>
                <w:szCs w:val="22"/>
              </w:rPr>
            </w:pPr>
            <w:r w:rsidRPr="00E56313">
              <w:rPr>
                <w:rFonts w:cs="Times New Roman"/>
                <w:bCs/>
                <w:sz w:val="22"/>
                <w:szCs w:val="22"/>
              </w:rPr>
              <w:t>.445</w:t>
            </w:r>
            <w:r w:rsidRPr="00E56313">
              <w:rPr>
                <w:rFonts w:cs="Times New Roman"/>
                <w:bCs/>
                <w:sz w:val="22"/>
                <w:szCs w:val="22"/>
                <w:vertAlign w:val="superscript"/>
              </w:rPr>
              <w:t>**</w:t>
            </w:r>
          </w:p>
        </w:tc>
        <w:tc>
          <w:tcPr>
            <w:tcW w:w="1260" w:type="dxa"/>
            <w:tcBorders>
              <w:top w:val="nil"/>
              <w:left w:val="nil"/>
              <w:bottom w:val="nil"/>
              <w:right w:val="nil"/>
            </w:tcBorders>
            <w:shd w:val="clear" w:color="auto" w:fill="FFFFFF"/>
            <w:vAlign w:val="center"/>
          </w:tcPr>
          <w:p w14:paraId="38E83FE5" w14:textId="77777777" w:rsidR="00E56313" w:rsidRPr="00E56313" w:rsidRDefault="00E56313" w:rsidP="00E56313">
            <w:pPr>
              <w:rPr>
                <w:rFonts w:cs="Times New Roman"/>
                <w:bCs/>
                <w:sz w:val="22"/>
                <w:szCs w:val="22"/>
              </w:rPr>
            </w:pPr>
            <w:r w:rsidRPr="00E56313">
              <w:rPr>
                <w:rFonts w:cs="Times New Roman"/>
                <w:bCs/>
                <w:sz w:val="22"/>
                <w:szCs w:val="22"/>
              </w:rPr>
              <w:t>.166</w:t>
            </w:r>
            <w:r w:rsidRPr="00E56313">
              <w:rPr>
                <w:rFonts w:cs="Times New Roman"/>
                <w:bCs/>
                <w:sz w:val="22"/>
                <w:szCs w:val="22"/>
                <w:vertAlign w:val="superscript"/>
              </w:rPr>
              <w:t>**</w:t>
            </w:r>
          </w:p>
        </w:tc>
        <w:tc>
          <w:tcPr>
            <w:tcW w:w="1080" w:type="dxa"/>
            <w:tcBorders>
              <w:top w:val="nil"/>
              <w:left w:val="nil"/>
              <w:bottom w:val="nil"/>
              <w:right w:val="nil"/>
            </w:tcBorders>
            <w:shd w:val="clear" w:color="auto" w:fill="FFFFFF"/>
            <w:vAlign w:val="center"/>
          </w:tcPr>
          <w:p w14:paraId="40E7F634"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1350" w:type="dxa"/>
            <w:tcBorders>
              <w:top w:val="nil"/>
              <w:left w:val="nil"/>
              <w:bottom w:val="nil"/>
              <w:right w:val="nil"/>
            </w:tcBorders>
            <w:shd w:val="clear" w:color="auto" w:fill="FFFFFF"/>
            <w:vAlign w:val="center"/>
          </w:tcPr>
          <w:p w14:paraId="1DDD0F2C" w14:textId="77777777" w:rsidR="00E56313" w:rsidRPr="00E56313" w:rsidRDefault="00E56313" w:rsidP="00E56313">
            <w:pPr>
              <w:rPr>
                <w:rFonts w:cs="Times New Roman"/>
                <w:bCs/>
                <w:sz w:val="22"/>
                <w:szCs w:val="22"/>
              </w:rPr>
            </w:pPr>
            <w:r w:rsidRPr="00E56313">
              <w:rPr>
                <w:rFonts w:cs="Times New Roman"/>
                <w:bCs/>
                <w:sz w:val="22"/>
                <w:szCs w:val="22"/>
              </w:rPr>
              <w:t>.496</w:t>
            </w:r>
            <w:r w:rsidRPr="00E56313">
              <w:rPr>
                <w:rFonts w:cs="Times New Roman"/>
                <w:bCs/>
                <w:sz w:val="22"/>
                <w:szCs w:val="22"/>
                <w:vertAlign w:val="superscript"/>
              </w:rPr>
              <w:t>**</w:t>
            </w:r>
          </w:p>
        </w:tc>
      </w:tr>
      <w:tr w:rsidR="00E56313" w:rsidRPr="00E56313" w14:paraId="14974679" w14:textId="77777777" w:rsidTr="00F63480">
        <w:trPr>
          <w:cantSplit/>
        </w:trPr>
        <w:tc>
          <w:tcPr>
            <w:tcW w:w="948" w:type="dxa"/>
            <w:vMerge/>
            <w:tcBorders>
              <w:top w:val="nil"/>
              <w:left w:val="nil"/>
              <w:bottom w:val="nil"/>
              <w:right w:val="nil"/>
            </w:tcBorders>
            <w:shd w:val="clear" w:color="auto" w:fill="FFFFFF"/>
          </w:tcPr>
          <w:p w14:paraId="258D6A8D"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3D3D62EA" w14:textId="77777777" w:rsidR="00E56313" w:rsidRPr="00E56313" w:rsidRDefault="00E56313" w:rsidP="00E56313">
            <w:pPr>
              <w:rPr>
                <w:rFonts w:cs="Times New Roman"/>
                <w:bCs/>
                <w:sz w:val="22"/>
                <w:szCs w:val="22"/>
              </w:rPr>
            </w:pPr>
            <w:r w:rsidRPr="00E56313">
              <w:rPr>
                <w:rFonts w:cs="Times New Roman"/>
                <w:bCs/>
                <w:sz w:val="22"/>
                <w:szCs w:val="22"/>
              </w:rPr>
              <w:t>Sig. (2-tailed)</w:t>
            </w:r>
          </w:p>
        </w:tc>
        <w:tc>
          <w:tcPr>
            <w:tcW w:w="1080" w:type="dxa"/>
            <w:tcBorders>
              <w:top w:val="nil"/>
              <w:left w:val="nil"/>
              <w:bottom w:val="nil"/>
              <w:right w:val="nil"/>
            </w:tcBorders>
            <w:shd w:val="clear" w:color="auto" w:fill="FFFFFF"/>
            <w:vAlign w:val="center"/>
          </w:tcPr>
          <w:p w14:paraId="77086D9E"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260" w:type="dxa"/>
            <w:tcBorders>
              <w:top w:val="nil"/>
              <w:left w:val="nil"/>
              <w:bottom w:val="nil"/>
              <w:right w:val="nil"/>
            </w:tcBorders>
            <w:shd w:val="clear" w:color="auto" w:fill="FFFFFF"/>
            <w:vAlign w:val="center"/>
          </w:tcPr>
          <w:p w14:paraId="19623299" w14:textId="77777777" w:rsidR="00E56313" w:rsidRPr="00E56313" w:rsidRDefault="00E56313" w:rsidP="00E56313">
            <w:pPr>
              <w:rPr>
                <w:rFonts w:cs="Times New Roman"/>
                <w:bCs/>
                <w:sz w:val="22"/>
                <w:szCs w:val="22"/>
              </w:rPr>
            </w:pPr>
            <w:r w:rsidRPr="00E56313">
              <w:rPr>
                <w:rFonts w:cs="Times New Roman"/>
                <w:bCs/>
                <w:sz w:val="22"/>
                <w:szCs w:val="22"/>
              </w:rPr>
              <w:t>.001</w:t>
            </w:r>
          </w:p>
        </w:tc>
        <w:tc>
          <w:tcPr>
            <w:tcW w:w="1080" w:type="dxa"/>
            <w:tcBorders>
              <w:top w:val="nil"/>
              <w:left w:val="nil"/>
              <w:bottom w:val="nil"/>
              <w:right w:val="nil"/>
            </w:tcBorders>
            <w:shd w:val="clear" w:color="auto" w:fill="FFFFFF"/>
            <w:vAlign w:val="center"/>
          </w:tcPr>
          <w:p w14:paraId="673BD625" w14:textId="77777777" w:rsidR="00E56313" w:rsidRPr="00E56313" w:rsidRDefault="00E56313" w:rsidP="00E56313">
            <w:pPr>
              <w:rPr>
                <w:rFonts w:cs="Times New Roman"/>
                <w:bCs/>
                <w:sz w:val="22"/>
                <w:szCs w:val="22"/>
              </w:rPr>
            </w:pPr>
          </w:p>
        </w:tc>
        <w:tc>
          <w:tcPr>
            <w:tcW w:w="1350" w:type="dxa"/>
            <w:tcBorders>
              <w:top w:val="nil"/>
              <w:left w:val="nil"/>
              <w:bottom w:val="nil"/>
              <w:right w:val="nil"/>
            </w:tcBorders>
            <w:shd w:val="clear" w:color="auto" w:fill="FFFFFF"/>
            <w:vAlign w:val="center"/>
          </w:tcPr>
          <w:p w14:paraId="7D933CFA"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057D0D2C" w14:textId="77777777" w:rsidTr="00F63480">
        <w:trPr>
          <w:cantSplit/>
        </w:trPr>
        <w:tc>
          <w:tcPr>
            <w:tcW w:w="948" w:type="dxa"/>
            <w:vMerge/>
            <w:tcBorders>
              <w:top w:val="nil"/>
              <w:left w:val="nil"/>
              <w:bottom w:val="nil"/>
              <w:right w:val="nil"/>
            </w:tcBorders>
            <w:shd w:val="clear" w:color="auto" w:fill="FFFFFF"/>
          </w:tcPr>
          <w:p w14:paraId="0A7748FB"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1D37816E" w14:textId="77777777" w:rsidR="00E56313" w:rsidRPr="00E56313" w:rsidRDefault="00E56313" w:rsidP="00E56313">
            <w:pPr>
              <w:rPr>
                <w:rFonts w:cs="Times New Roman"/>
                <w:bCs/>
                <w:sz w:val="22"/>
                <w:szCs w:val="22"/>
              </w:rPr>
            </w:pPr>
            <w:r w:rsidRPr="00E56313">
              <w:rPr>
                <w:rFonts w:cs="Times New Roman"/>
                <w:bCs/>
                <w:sz w:val="22"/>
                <w:szCs w:val="22"/>
              </w:rPr>
              <w:t>N</w:t>
            </w:r>
          </w:p>
        </w:tc>
        <w:tc>
          <w:tcPr>
            <w:tcW w:w="1080" w:type="dxa"/>
            <w:tcBorders>
              <w:top w:val="nil"/>
              <w:left w:val="nil"/>
              <w:bottom w:val="nil"/>
              <w:right w:val="nil"/>
            </w:tcBorders>
            <w:shd w:val="clear" w:color="auto" w:fill="FFFFFF"/>
            <w:vAlign w:val="center"/>
          </w:tcPr>
          <w:p w14:paraId="756D0DEF"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260" w:type="dxa"/>
            <w:tcBorders>
              <w:top w:val="nil"/>
              <w:left w:val="nil"/>
              <w:bottom w:val="nil"/>
              <w:right w:val="nil"/>
            </w:tcBorders>
            <w:shd w:val="clear" w:color="auto" w:fill="FFFFFF"/>
            <w:vAlign w:val="center"/>
          </w:tcPr>
          <w:p w14:paraId="73BC73C5"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080" w:type="dxa"/>
            <w:tcBorders>
              <w:top w:val="nil"/>
              <w:left w:val="nil"/>
              <w:bottom w:val="nil"/>
              <w:right w:val="nil"/>
            </w:tcBorders>
            <w:shd w:val="clear" w:color="auto" w:fill="FFFFFF"/>
            <w:vAlign w:val="center"/>
          </w:tcPr>
          <w:p w14:paraId="1FB246C7"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350" w:type="dxa"/>
            <w:tcBorders>
              <w:top w:val="nil"/>
              <w:left w:val="nil"/>
              <w:bottom w:val="nil"/>
              <w:right w:val="nil"/>
            </w:tcBorders>
            <w:shd w:val="clear" w:color="auto" w:fill="FFFFFF"/>
            <w:vAlign w:val="center"/>
          </w:tcPr>
          <w:p w14:paraId="1551FDAA" w14:textId="77777777" w:rsidR="00E56313" w:rsidRPr="00E56313" w:rsidRDefault="00E56313" w:rsidP="00E56313">
            <w:pPr>
              <w:rPr>
                <w:rFonts w:cs="Times New Roman"/>
                <w:bCs/>
                <w:sz w:val="22"/>
                <w:szCs w:val="22"/>
              </w:rPr>
            </w:pPr>
            <w:r w:rsidRPr="00E56313">
              <w:rPr>
                <w:rFonts w:cs="Times New Roman"/>
                <w:bCs/>
                <w:sz w:val="22"/>
                <w:szCs w:val="22"/>
              </w:rPr>
              <w:t>388</w:t>
            </w:r>
          </w:p>
        </w:tc>
      </w:tr>
      <w:tr w:rsidR="00E56313" w:rsidRPr="00E56313" w14:paraId="26A6C8A2" w14:textId="77777777" w:rsidTr="00F63480">
        <w:trPr>
          <w:cantSplit/>
        </w:trPr>
        <w:tc>
          <w:tcPr>
            <w:tcW w:w="948" w:type="dxa"/>
            <w:vMerge w:val="restart"/>
            <w:tcBorders>
              <w:top w:val="nil"/>
              <w:left w:val="nil"/>
              <w:bottom w:val="nil"/>
              <w:right w:val="nil"/>
            </w:tcBorders>
            <w:shd w:val="clear" w:color="auto" w:fill="FFFFFF"/>
          </w:tcPr>
          <w:p w14:paraId="296EFD1E" w14:textId="77777777" w:rsidR="00E56313" w:rsidRPr="00E56313" w:rsidRDefault="00E56313" w:rsidP="00E56313">
            <w:pPr>
              <w:rPr>
                <w:rFonts w:cs="Times New Roman"/>
                <w:bCs/>
                <w:sz w:val="22"/>
                <w:szCs w:val="22"/>
              </w:rPr>
            </w:pPr>
            <w:r w:rsidRPr="00E56313">
              <w:rPr>
                <w:rFonts w:cs="Times New Roman"/>
                <w:bCs/>
                <w:sz w:val="22"/>
                <w:szCs w:val="22"/>
              </w:rPr>
              <w:t>GIP</w:t>
            </w:r>
          </w:p>
        </w:tc>
        <w:tc>
          <w:tcPr>
            <w:tcW w:w="2492" w:type="dxa"/>
            <w:tcBorders>
              <w:top w:val="nil"/>
              <w:left w:val="nil"/>
              <w:bottom w:val="nil"/>
              <w:right w:val="nil"/>
            </w:tcBorders>
            <w:shd w:val="clear" w:color="auto" w:fill="FFFFFF"/>
          </w:tcPr>
          <w:p w14:paraId="21F14137" w14:textId="77777777" w:rsidR="00E56313" w:rsidRPr="00E56313" w:rsidRDefault="00E56313" w:rsidP="00E56313">
            <w:pPr>
              <w:rPr>
                <w:rFonts w:cs="Times New Roman"/>
                <w:bCs/>
                <w:sz w:val="22"/>
                <w:szCs w:val="22"/>
              </w:rPr>
            </w:pPr>
            <w:r w:rsidRPr="00E56313">
              <w:rPr>
                <w:rFonts w:cs="Times New Roman"/>
                <w:bCs/>
                <w:sz w:val="22"/>
                <w:szCs w:val="22"/>
              </w:rPr>
              <w:t>Pearson Correlation</w:t>
            </w:r>
          </w:p>
        </w:tc>
        <w:tc>
          <w:tcPr>
            <w:tcW w:w="1080" w:type="dxa"/>
            <w:tcBorders>
              <w:top w:val="nil"/>
              <w:left w:val="nil"/>
              <w:bottom w:val="nil"/>
              <w:right w:val="nil"/>
            </w:tcBorders>
            <w:shd w:val="clear" w:color="auto" w:fill="FFFFFF"/>
            <w:vAlign w:val="center"/>
          </w:tcPr>
          <w:p w14:paraId="3F5FA23D" w14:textId="77777777" w:rsidR="00E56313" w:rsidRPr="00E56313" w:rsidRDefault="00E56313" w:rsidP="00E56313">
            <w:pPr>
              <w:rPr>
                <w:rFonts w:cs="Times New Roman"/>
                <w:bCs/>
                <w:sz w:val="22"/>
                <w:szCs w:val="22"/>
              </w:rPr>
            </w:pPr>
            <w:r w:rsidRPr="00E56313">
              <w:rPr>
                <w:rFonts w:cs="Times New Roman"/>
                <w:bCs/>
                <w:sz w:val="22"/>
                <w:szCs w:val="22"/>
              </w:rPr>
              <w:t>.416</w:t>
            </w:r>
            <w:r w:rsidRPr="00E56313">
              <w:rPr>
                <w:rFonts w:cs="Times New Roman"/>
                <w:bCs/>
                <w:sz w:val="22"/>
                <w:szCs w:val="22"/>
                <w:vertAlign w:val="superscript"/>
              </w:rPr>
              <w:t>**</w:t>
            </w:r>
          </w:p>
        </w:tc>
        <w:tc>
          <w:tcPr>
            <w:tcW w:w="1260" w:type="dxa"/>
            <w:tcBorders>
              <w:top w:val="nil"/>
              <w:left w:val="nil"/>
              <w:bottom w:val="nil"/>
              <w:right w:val="nil"/>
            </w:tcBorders>
            <w:shd w:val="clear" w:color="auto" w:fill="FFFFFF"/>
            <w:vAlign w:val="center"/>
          </w:tcPr>
          <w:p w14:paraId="52DFCE08" w14:textId="77777777" w:rsidR="00E56313" w:rsidRPr="00E56313" w:rsidRDefault="00E56313" w:rsidP="00E56313">
            <w:pPr>
              <w:rPr>
                <w:rFonts w:cs="Times New Roman"/>
                <w:bCs/>
                <w:sz w:val="22"/>
                <w:szCs w:val="22"/>
              </w:rPr>
            </w:pPr>
            <w:r w:rsidRPr="00E56313">
              <w:rPr>
                <w:rFonts w:cs="Times New Roman"/>
                <w:bCs/>
                <w:sz w:val="22"/>
                <w:szCs w:val="22"/>
              </w:rPr>
              <w:t>.279</w:t>
            </w:r>
            <w:r w:rsidRPr="00E56313">
              <w:rPr>
                <w:rFonts w:cs="Times New Roman"/>
                <w:bCs/>
                <w:sz w:val="22"/>
                <w:szCs w:val="22"/>
                <w:vertAlign w:val="superscript"/>
              </w:rPr>
              <w:t>**</w:t>
            </w:r>
          </w:p>
        </w:tc>
        <w:tc>
          <w:tcPr>
            <w:tcW w:w="1080" w:type="dxa"/>
            <w:tcBorders>
              <w:top w:val="nil"/>
              <w:left w:val="nil"/>
              <w:bottom w:val="nil"/>
              <w:right w:val="nil"/>
            </w:tcBorders>
            <w:shd w:val="clear" w:color="auto" w:fill="FFFFFF"/>
            <w:vAlign w:val="center"/>
          </w:tcPr>
          <w:p w14:paraId="6EEFFADF" w14:textId="77777777" w:rsidR="00E56313" w:rsidRPr="00E56313" w:rsidRDefault="00E56313" w:rsidP="00E56313">
            <w:pPr>
              <w:rPr>
                <w:rFonts w:cs="Times New Roman"/>
                <w:bCs/>
                <w:sz w:val="22"/>
                <w:szCs w:val="22"/>
              </w:rPr>
            </w:pPr>
            <w:r w:rsidRPr="00E56313">
              <w:rPr>
                <w:rFonts w:cs="Times New Roman"/>
                <w:bCs/>
                <w:sz w:val="22"/>
                <w:szCs w:val="22"/>
              </w:rPr>
              <w:t>.496</w:t>
            </w:r>
            <w:r w:rsidRPr="00E56313">
              <w:rPr>
                <w:rFonts w:cs="Times New Roman"/>
                <w:bCs/>
                <w:sz w:val="22"/>
                <w:szCs w:val="22"/>
                <w:vertAlign w:val="superscript"/>
              </w:rPr>
              <w:t>**</w:t>
            </w:r>
          </w:p>
        </w:tc>
        <w:tc>
          <w:tcPr>
            <w:tcW w:w="1350" w:type="dxa"/>
            <w:tcBorders>
              <w:top w:val="nil"/>
              <w:left w:val="nil"/>
              <w:bottom w:val="nil"/>
              <w:right w:val="nil"/>
            </w:tcBorders>
            <w:shd w:val="clear" w:color="auto" w:fill="FFFFFF"/>
            <w:vAlign w:val="center"/>
          </w:tcPr>
          <w:p w14:paraId="0778216B" w14:textId="77777777" w:rsidR="00E56313" w:rsidRPr="00E56313" w:rsidRDefault="00E56313" w:rsidP="00E56313">
            <w:pPr>
              <w:rPr>
                <w:rFonts w:cs="Times New Roman"/>
                <w:bCs/>
                <w:sz w:val="22"/>
                <w:szCs w:val="22"/>
              </w:rPr>
            </w:pPr>
            <w:r w:rsidRPr="00E56313">
              <w:rPr>
                <w:rFonts w:cs="Times New Roman"/>
                <w:bCs/>
                <w:sz w:val="22"/>
                <w:szCs w:val="22"/>
              </w:rPr>
              <w:t>1</w:t>
            </w:r>
          </w:p>
        </w:tc>
      </w:tr>
      <w:tr w:rsidR="00E56313" w:rsidRPr="00E56313" w14:paraId="36CDA505" w14:textId="77777777" w:rsidTr="00F63480">
        <w:trPr>
          <w:cantSplit/>
        </w:trPr>
        <w:tc>
          <w:tcPr>
            <w:tcW w:w="948" w:type="dxa"/>
            <w:vMerge/>
            <w:tcBorders>
              <w:top w:val="nil"/>
              <w:left w:val="nil"/>
              <w:bottom w:val="nil"/>
              <w:right w:val="nil"/>
            </w:tcBorders>
            <w:shd w:val="clear" w:color="auto" w:fill="FFFFFF"/>
          </w:tcPr>
          <w:p w14:paraId="676BC29F" w14:textId="77777777" w:rsidR="00E56313" w:rsidRPr="00E56313" w:rsidRDefault="00E56313" w:rsidP="00E56313">
            <w:pPr>
              <w:rPr>
                <w:rFonts w:cs="Times New Roman"/>
                <w:bCs/>
                <w:sz w:val="22"/>
                <w:szCs w:val="22"/>
              </w:rPr>
            </w:pPr>
          </w:p>
        </w:tc>
        <w:tc>
          <w:tcPr>
            <w:tcW w:w="2492" w:type="dxa"/>
            <w:tcBorders>
              <w:top w:val="nil"/>
              <w:left w:val="nil"/>
              <w:bottom w:val="nil"/>
              <w:right w:val="nil"/>
            </w:tcBorders>
            <w:shd w:val="clear" w:color="auto" w:fill="FFFFFF"/>
          </w:tcPr>
          <w:p w14:paraId="2C162A73" w14:textId="77777777" w:rsidR="00E56313" w:rsidRPr="00E56313" w:rsidRDefault="00E56313" w:rsidP="00E56313">
            <w:pPr>
              <w:rPr>
                <w:rFonts w:cs="Times New Roman"/>
                <w:bCs/>
                <w:sz w:val="22"/>
                <w:szCs w:val="22"/>
              </w:rPr>
            </w:pPr>
            <w:r w:rsidRPr="00E56313">
              <w:rPr>
                <w:rFonts w:cs="Times New Roman"/>
                <w:bCs/>
                <w:sz w:val="22"/>
                <w:szCs w:val="22"/>
              </w:rPr>
              <w:t>Sig. (2-tailed)</w:t>
            </w:r>
          </w:p>
        </w:tc>
        <w:tc>
          <w:tcPr>
            <w:tcW w:w="1080" w:type="dxa"/>
            <w:tcBorders>
              <w:top w:val="nil"/>
              <w:left w:val="nil"/>
              <w:bottom w:val="nil"/>
              <w:right w:val="nil"/>
            </w:tcBorders>
            <w:shd w:val="clear" w:color="auto" w:fill="FFFFFF"/>
            <w:vAlign w:val="center"/>
          </w:tcPr>
          <w:p w14:paraId="69674BB3"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260" w:type="dxa"/>
            <w:tcBorders>
              <w:top w:val="nil"/>
              <w:left w:val="nil"/>
              <w:bottom w:val="nil"/>
              <w:right w:val="nil"/>
            </w:tcBorders>
            <w:shd w:val="clear" w:color="auto" w:fill="FFFFFF"/>
            <w:vAlign w:val="center"/>
          </w:tcPr>
          <w:p w14:paraId="3AD00EA2"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080" w:type="dxa"/>
            <w:tcBorders>
              <w:top w:val="nil"/>
              <w:left w:val="nil"/>
              <w:bottom w:val="nil"/>
              <w:right w:val="nil"/>
            </w:tcBorders>
            <w:shd w:val="clear" w:color="auto" w:fill="FFFFFF"/>
            <w:vAlign w:val="center"/>
          </w:tcPr>
          <w:p w14:paraId="5ACE3950" w14:textId="77777777" w:rsidR="00E56313" w:rsidRPr="00E56313" w:rsidRDefault="00E56313" w:rsidP="00E56313">
            <w:pPr>
              <w:rPr>
                <w:rFonts w:cs="Times New Roman"/>
                <w:bCs/>
                <w:sz w:val="22"/>
                <w:szCs w:val="22"/>
              </w:rPr>
            </w:pPr>
            <w:r w:rsidRPr="00E56313">
              <w:rPr>
                <w:rFonts w:cs="Times New Roman"/>
                <w:bCs/>
                <w:sz w:val="22"/>
                <w:szCs w:val="22"/>
              </w:rPr>
              <w:t>.000</w:t>
            </w:r>
          </w:p>
        </w:tc>
        <w:tc>
          <w:tcPr>
            <w:tcW w:w="1350" w:type="dxa"/>
            <w:tcBorders>
              <w:top w:val="nil"/>
              <w:left w:val="nil"/>
              <w:bottom w:val="nil"/>
              <w:right w:val="nil"/>
            </w:tcBorders>
            <w:shd w:val="clear" w:color="auto" w:fill="FFFFFF"/>
            <w:vAlign w:val="center"/>
          </w:tcPr>
          <w:p w14:paraId="34799172" w14:textId="77777777" w:rsidR="00E56313" w:rsidRPr="00E56313" w:rsidRDefault="00E56313" w:rsidP="00E56313">
            <w:pPr>
              <w:rPr>
                <w:rFonts w:cs="Times New Roman"/>
                <w:bCs/>
                <w:sz w:val="22"/>
                <w:szCs w:val="22"/>
              </w:rPr>
            </w:pPr>
          </w:p>
        </w:tc>
      </w:tr>
      <w:tr w:rsidR="00E56313" w:rsidRPr="00E56313" w14:paraId="23B015BE" w14:textId="77777777" w:rsidTr="00F63480">
        <w:trPr>
          <w:cantSplit/>
        </w:trPr>
        <w:tc>
          <w:tcPr>
            <w:tcW w:w="948" w:type="dxa"/>
            <w:vMerge/>
            <w:tcBorders>
              <w:top w:val="nil"/>
              <w:left w:val="nil"/>
              <w:bottom w:val="single" w:sz="12" w:space="0" w:color="auto"/>
              <w:right w:val="nil"/>
            </w:tcBorders>
            <w:shd w:val="clear" w:color="auto" w:fill="FFFFFF"/>
          </w:tcPr>
          <w:p w14:paraId="0A408C28" w14:textId="77777777" w:rsidR="00E56313" w:rsidRPr="00E56313" w:rsidRDefault="00E56313" w:rsidP="00E56313">
            <w:pPr>
              <w:rPr>
                <w:rFonts w:cs="Times New Roman"/>
                <w:bCs/>
                <w:sz w:val="22"/>
                <w:szCs w:val="22"/>
              </w:rPr>
            </w:pPr>
          </w:p>
        </w:tc>
        <w:tc>
          <w:tcPr>
            <w:tcW w:w="2492" w:type="dxa"/>
            <w:tcBorders>
              <w:top w:val="nil"/>
              <w:left w:val="nil"/>
              <w:bottom w:val="single" w:sz="12" w:space="0" w:color="auto"/>
              <w:right w:val="nil"/>
            </w:tcBorders>
            <w:shd w:val="clear" w:color="auto" w:fill="FFFFFF"/>
          </w:tcPr>
          <w:p w14:paraId="694D9E1D" w14:textId="77777777" w:rsidR="00E56313" w:rsidRPr="00E56313" w:rsidRDefault="00E56313" w:rsidP="00E56313">
            <w:pPr>
              <w:rPr>
                <w:rFonts w:cs="Times New Roman"/>
                <w:bCs/>
                <w:sz w:val="22"/>
                <w:szCs w:val="22"/>
              </w:rPr>
            </w:pPr>
            <w:r w:rsidRPr="00E56313">
              <w:rPr>
                <w:rFonts w:cs="Times New Roman"/>
                <w:bCs/>
                <w:sz w:val="22"/>
                <w:szCs w:val="22"/>
              </w:rPr>
              <w:t>N</w:t>
            </w:r>
          </w:p>
        </w:tc>
        <w:tc>
          <w:tcPr>
            <w:tcW w:w="1080" w:type="dxa"/>
            <w:tcBorders>
              <w:top w:val="nil"/>
              <w:left w:val="nil"/>
              <w:bottom w:val="single" w:sz="12" w:space="0" w:color="auto"/>
              <w:right w:val="nil"/>
            </w:tcBorders>
            <w:shd w:val="clear" w:color="auto" w:fill="FFFFFF"/>
            <w:vAlign w:val="center"/>
          </w:tcPr>
          <w:p w14:paraId="61B7B897"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260" w:type="dxa"/>
            <w:tcBorders>
              <w:top w:val="nil"/>
              <w:left w:val="nil"/>
              <w:bottom w:val="single" w:sz="12" w:space="0" w:color="auto"/>
              <w:right w:val="nil"/>
            </w:tcBorders>
            <w:shd w:val="clear" w:color="auto" w:fill="FFFFFF"/>
            <w:vAlign w:val="center"/>
          </w:tcPr>
          <w:p w14:paraId="603174EF"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080" w:type="dxa"/>
            <w:tcBorders>
              <w:top w:val="nil"/>
              <w:left w:val="nil"/>
              <w:bottom w:val="single" w:sz="12" w:space="0" w:color="auto"/>
              <w:right w:val="nil"/>
            </w:tcBorders>
            <w:shd w:val="clear" w:color="auto" w:fill="FFFFFF"/>
            <w:vAlign w:val="center"/>
          </w:tcPr>
          <w:p w14:paraId="645FED3B" w14:textId="77777777" w:rsidR="00E56313" w:rsidRPr="00E56313" w:rsidRDefault="00E56313" w:rsidP="00E56313">
            <w:pPr>
              <w:rPr>
                <w:rFonts w:cs="Times New Roman"/>
                <w:bCs/>
                <w:sz w:val="22"/>
                <w:szCs w:val="22"/>
              </w:rPr>
            </w:pPr>
            <w:r w:rsidRPr="00E56313">
              <w:rPr>
                <w:rFonts w:cs="Times New Roman"/>
                <w:bCs/>
                <w:sz w:val="22"/>
                <w:szCs w:val="22"/>
              </w:rPr>
              <w:t>388</w:t>
            </w:r>
          </w:p>
        </w:tc>
        <w:tc>
          <w:tcPr>
            <w:tcW w:w="1350" w:type="dxa"/>
            <w:tcBorders>
              <w:top w:val="nil"/>
              <w:left w:val="nil"/>
              <w:bottom w:val="single" w:sz="12" w:space="0" w:color="auto"/>
              <w:right w:val="nil"/>
            </w:tcBorders>
            <w:shd w:val="clear" w:color="auto" w:fill="FFFFFF"/>
            <w:vAlign w:val="center"/>
          </w:tcPr>
          <w:p w14:paraId="4F1CECAA" w14:textId="77777777" w:rsidR="00E56313" w:rsidRPr="00E56313" w:rsidRDefault="00E56313" w:rsidP="00E56313">
            <w:pPr>
              <w:rPr>
                <w:rFonts w:cs="Times New Roman"/>
                <w:bCs/>
                <w:sz w:val="22"/>
                <w:szCs w:val="22"/>
              </w:rPr>
            </w:pPr>
            <w:r w:rsidRPr="00E56313">
              <w:rPr>
                <w:rFonts w:cs="Times New Roman"/>
                <w:bCs/>
                <w:sz w:val="22"/>
                <w:szCs w:val="22"/>
              </w:rPr>
              <w:t>388</w:t>
            </w:r>
          </w:p>
        </w:tc>
      </w:tr>
      <w:tr w:rsidR="00E56313" w:rsidRPr="00E56313" w14:paraId="4949AC09" w14:textId="77777777" w:rsidTr="00F63480">
        <w:trPr>
          <w:cantSplit/>
        </w:trPr>
        <w:tc>
          <w:tcPr>
            <w:tcW w:w="8210" w:type="dxa"/>
            <w:gridSpan w:val="6"/>
            <w:tcBorders>
              <w:top w:val="single" w:sz="12" w:space="0" w:color="auto"/>
              <w:left w:val="nil"/>
              <w:bottom w:val="nil"/>
              <w:right w:val="nil"/>
            </w:tcBorders>
            <w:shd w:val="clear" w:color="auto" w:fill="FFFFFF"/>
          </w:tcPr>
          <w:p w14:paraId="353EE7A6" w14:textId="77777777" w:rsidR="00E56313" w:rsidRPr="00E56313" w:rsidRDefault="00E56313" w:rsidP="00E56313">
            <w:pPr>
              <w:rPr>
                <w:rFonts w:cs="Times New Roman"/>
                <w:bCs/>
                <w:sz w:val="22"/>
                <w:szCs w:val="22"/>
              </w:rPr>
            </w:pPr>
            <w:r w:rsidRPr="00E56313">
              <w:rPr>
                <w:rFonts w:cs="Times New Roman"/>
                <w:bCs/>
                <w:sz w:val="22"/>
                <w:szCs w:val="22"/>
              </w:rPr>
              <w:t>**. Correlation is significant at the 0.01 level (2-tailed).</w:t>
            </w:r>
          </w:p>
        </w:tc>
      </w:tr>
    </w:tbl>
    <w:p w14:paraId="2A59C238" w14:textId="77777777" w:rsidR="00E56313" w:rsidRPr="00E56313" w:rsidRDefault="00E56313" w:rsidP="00E56313">
      <w:pPr>
        <w:rPr>
          <w:rFonts w:cs="Times New Roman"/>
          <w:bCs/>
          <w:sz w:val="22"/>
          <w:szCs w:val="22"/>
        </w:rPr>
      </w:pPr>
      <w:r w:rsidRPr="00E56313">
        <w:rPr>
          <w:rFonts w:cs="Times New Roman"/>
          <w:bCs/>
          <w:sz w:val="22"/>
          <w:szCs w:val="22"/>
        </w:rPr>
        <w:t>**. Correlation is significant at the 0.01 level (2-tailed).                                                                                         Source: SPSS Version 23 Output, 2024.</w:t>
      </w:r>
    </w:p>
    <w:p w14:paraId="507C95DD" w14:textId="77777777" w:rsidR="00E56313" w:rsidRPr="00E56313" w:rsidRDefault="00E56313" w:rsidP="00E56313">
      <w:pPr>
        <w:rPr>
          <w:rFonts w:cs="Times New Roman"/>
          <w:bCs/>
          <w:sz w:val="22"/>
          <w:szCs w:val="22"/>
        </w:rPr>
      </w:pPr>
      <w:r w:rsidRPr="00E56313">
        <w:rPr>
          <w:rFonts w:cs="Times New Roman"/>
          <w:bCs/>
          <w:sz w:val="22"/>
          <w:szCs w:val="22"/>
        </w:rPr>
        <w:lastRenderedPageBreak/>
        <w:t>Table 1 presents the correlation analysis between factors influencing green products purchase intention among selected tertiary institution students in Gombe state. The values of Pearson correlation in Table 1 show the relationship between all the variables of the study and hence, check for the multi-collinearity. The general rule of thumb is that the correlation should not exceed 0.75. In the present investigation, the strongest correlation between the independent and dependent variables was between willingness to pay (WILLP) and green purchasing intention (GPI), which was favorably significant at the.01 level (r =.496, p &lt;.000).  Given strongest correlation coefficient value, this indicates that all of the variables in this study were within the permitted range as described above and would not present any problems with multi-collinearity. In view of the p-value of .000 in the above correlation matrix also it means that the correlation is statistically significant.</w:t>
      </w:r>
    </w:p>
    <w:p w14:paraId="568E2FFA" w14:textId="77777777" w:rsidR="00E56313" w:rsidRPr="00E56313" w:rsidRDefault="00E56313" w:rsidP="00E56313">
      <w:pPr>
        <w:rPr>
          <w:rFonts w:cs="Times New Roman"/>
          <w:b/>
          <w:bCs/>
          <w:sz w:val="22"/>
          <w:szCs w:val="22"/>
        </w:rPr>
      </w:pPr>
      <w:r w:rsidRPr="00E56313">
        <w:rPr>
          <w:rFonts w:cs="Times New Roman"/>
          <w:b/>
          <w:bCs/>
          <w:sz w:val="22"/>
          <w:szCs w:val="22"/>
        </w:rPr>
        <w:t xml:space="preserve">3.2.1. </w:t>
      </w:r>
      <w:bookmarkStart w:id="0" w:name="_Toc169862128"/>
      <w:bookmarkStart w:id="1" w:name="_Toc170910409"/>
      <w:bookmarkStart w:id="2" w:name="_Toc170910661"/>
      <w:r w:rsidRPr="00E56313">
        <w:rPr>
          <w:rFonts w:cs="Times New Roman"/>
          <w:b/>
          <w:bCs/>
          <w:sz w:val="22"/>
          <w:szCs w:val="22"/>
        </w:rPr>
        <w:t>Multiple Regression Tests of the Hypotheses</w:t>
      </w:r>
      <w:bookmarkEnd w:id="0"/>
      <w:bookmarkEnd w:id="1"/>
      <w:bookmarkEnd w:id="2"/>
      <w:r w:rsidRPr="00E56313">
        <w:rPr>
          <w:rFonts w:cs="Times New Roman"/>
          <w:b/>
          <w:bCs/>
          <w:sz w:val="22"/>
          <w:szCs w:val="22"/>
        </w:rPr>
        <w:t xml:space="preserve"> </w:t>
      </w:r>
    </w:p>
    <w:p w14:paraId="27D36ADB" w14:textId="77777777" w:rsidR="00E56313" w:rsidRPr="00E56313" w:rsidRDefault="00E56313" w:rsidP="00E56313">
      <w:pPr>
        <w:rPr>
          <w:rFonts w:cs="Times New Roman"/>
          <w:bCs/>
          <w:sz w:val="22"/>
          <w:szCs w:val="22"/>
        </w:rPr>
      </w:pPr>
      <w:r w:rsidRPr="00E56313">
        <w:rPr>
          <w:rFonts w:cs="Times New Roman"/>
          <w:bCs/>
          <w:sz w:val="22"/>
          <w:szCs w:val="22"/>
        </w:rPr>
        <w:t>The present section summarizes the findings of the hypothesis testing between the independent factors (attitude, subjective norm, and willingness to pay) and the dependent variable (green buy intention). In table 1 of this study, correlation analysis was used to establish the link between the independent and dependent variables; however, to determine the real effects of the numerous independent variables on the dependent variable, a multiple regression analysis was used. The detail explanation on this analysis is presented using three (3) tables namely; model summary (table 2), ANOVA table (table 3) and coefficient table (table 4).</w:t>
      </w:r>
    </w:p>
    <w:p w14:paraId="74B70FA6" w14:textId="77777777" w:rsidR="00E56313" w:rsidRPr="00E56313" w:rsidRDefault="00E56313" w:rsidP="00E56313">
      <w:pPr>
        <w:rPr>
          <w:rFonts w:cs="Times New Roman"/>
          <w:b/>
          <w:bCs/>
          <w:sz w:val="22"/>
          <w:szCs w:val="22"/>
        </w:rPr>
      </w:pPr>
      <w:r w:rsidRPr="00E56313">
        <w:rPr>
          <w:rFonts w:cs="Times New Roman"/>
          <w:b/>
          <w:bCs/>
          <w:sz w:val="22"/>
          <w:szCs w:val="22"/>
        </w:rPr>
        <w:t xml:space="preserve">Table 2. </w:t>
      </w:r>
    </w:p>
    <w:p w14:paraId="2DE04712" w14:textId="77777777" w:rsidR="00E56313" w:rsidRPr="00E56313" w:rsidRDefault="00E56313" w:rsidP="00E56313">
      <w:pPr>
        <w:rPr>
          <w:rFonts w:cs="Times New Roman"/>
          <w:bCs/>
          <w:i/>
          <w:sz w:val="22"/>
          <w:szCs w:val="22"/>
        </w:rPr>
      </w:pPr>
      <w:r w:rsidRPr="00E56313">
        <w:rPr>
          <w:rFonts w:cs="Times New Roman"/>
          <w:bCs/>
          <w:i/>
          <w:sz w:val="22"/>
          <w:szCs w:val="22"/>
        </w:rPr>
        <w:t>The Model Summary</w:t>
      </w:r>
    </w:p>
    <w:tbl>
      <w:tblPr>
        <w:tblW w:w="82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720"/>
        <w:gridCol w:w="830"/>
        <w:gridCol w:w="900"/>
        <w:gridCol w:w="990"/>
        <w:gridCol w:w="1080"/>
        <w:gridCol w:w="900"/>
        <w:gridCol w:w="450"/>
        <w:gridCol w:w="630"/>
        <w:gridCol w:w="990"/>
      </w:tblGrid>
      <w:tr w:rsidR="00E56313" w:rsidRPr="00E56313" w14:paraId="3909A3F0" w14:textId="77777777" w:rsidTr="00F63480">
        <w:trPr>
          <w:cantSplit/>
        </w:trPr>
        <w:tc>
          <w:tcPr>
            <w:tcW w:w="720" w:type="dxa"/>
            <w:vMerge w:val="restart"/>
            <w:tcBorders>
              <w:top w:val="single" w:sz="12" w:space="0" w:color="auto"/>
              <w:left w:val="nil"/>
              <w:bottom w:val="nil"/>
              <w:right w:val="nil"/>
            </w:tcBorders>
            <w:shd w:val="clear" w:color="auto" w:fill="FFFFFF"/>
            <w:vAlign w:val="bottom"/>
          </w:tcPr>
          <w:p w14:paraId="10134972" w14:textId="77777777" w:rsidR="00E56313" w:rsidRPr="00E56313" w:rsidRDefault="00E56313" w:rsidP="00E56313">
            <w:pPr>
              <w:rPr>
                <w:rFonts w:cs="Times New Roman"/>
                <w:bCs/>
                <w:sz w:val="22"/>
                <w:szCs w:val="22"/>
              </w:rPr>
            </w:pPr>
            <w:r w:rsidRPr="00E56313">
              <w:rPr>
                <w:rFonts w:cs="Times New Roman"/>
                <w:bCs/>
                <w:sz w:val="22"/>
                <w:szCs w:val="22"/>
              </w:rPr>
              <w:t>Model</w:t>
            </w:r>
          </w:p>
        </w:tc>
        <w:tc>
          <w:tcPr>
            <w:tcW w:w="720" w:type="dxa"/>
            <w:vMerge w:val="restart"/>
            <w:tcBorders>
              <w:top w:val="single" w:sz="12" w:space="0" w:color="auto"/>
              <w:left w:val="nil"/>
              <w:bottom w:val="nil"/>
              <w:right w:val="nil"/>
            </w:tcBorders>
            <w:shd w:val="clear" w:color="auto" w:fill="FFFFFF"/>
            <w:vAlign w:val="bottom"/>
          </w:tcPr>
          <w:p w14:paraId="4EF54DF7" w14:textId="77777777" w:rsidR="00E56313" w:rsidRPr="00E56313" w:rsidRDefault="00E56313" w:rsidP="00E56313">
            <w:pPr>
              <w:rPr>
                <w:rFonts w:cs="Times New Roman"/>
                <w:bCs/>
                <w:sz w:val="22"/>
                <w:szCs w:val="22"/>
              </w:rPr>
            </w:pPr>
            <w:r w:rsidRPr="00E56313">
              <w:rPr>
                <w:rFonts w:cs="Times New Roman"/>
                <w:bCs/>
                <w:sz w:val="22"/>
                <w:szCs w:val="22"/>
              </w:rPr>
              <w:t>R</w:t>
            </w:r>
          </w:p>
        </w:tc>
        <w:tc>
          <w:tcPr>
            <w:tcW w:w="830" w:type="dxa"/>
            <w:vMerge w:val="restart"/>
            <w:tcBorders>
              <w:top w:val="single" w:sz="12" w:space="0" w:color="auto"/>
              <w:left w:val="nil"/>
              <w:bottom w:val="nil"/>
              <w:right w:val="nil"/>
            </w:tcBorders>
            <w:shd w:val="clear" w:color="auto" w:fill="FFFFFF"/>
            <w:vAlign w:val="bottom"/>
          </w:tcPr>
          <w:p w14:paraId="33BCD55F" w14:textId="77777777" w:rsidR="00E56313" w:rsidRPr="00E56313" w:rsidRDefault="00E56313" w:rsidP="00E56313">
            <w:pPr>
              <w:rPr>
                <w:rFonts w:cs="Times New Roman"/>
                <w:bCs/>
                <w:sz w:val="22"/>
                <w:szCs w:val="22"/>
                <w:vertAlign w:val="superscript"/>
              </w:rPr>
            </w:pPr>
            <w:r w:rsidRPr="00E56313">
              <w:rPr>
                <w:rFonts w:cs="Times New Roman"/>
                <w:bCs/>
                <w:sz w:val="22"/>
                <w:szCs w:val="22"/>
              </w:rPr>
              <w:t>R</w:t>
            </w:r>
            <w:r w:rsidRPr="00E56313">
              <w:rPr>
                <w:rFonts w:cs="Times New Roman"/>
                <w:bCs/>
                <w:sz w:val="22"/>
                <w:szCs w:val="22"/>
                <w:vertAlign w:val="superscript"/>
              </w:rPr>
              <w:t>2</w:t>
            </w:r>
          </w:p>
        </w:tc>
        <w:tc>
          <w:tcPr>
            <w:tcW w:w="900" w:type="dxa"/>
            <w:vMerge w:val="restart"/>
            <w:tcBorders>
              <w:top w:val="single" w:sz="12" w:space="0" w:color="auto"/>
              <w:left w:val="nil"/>
              <w:bottom w:val="nil"/>
              <w:right w:val="nil"/>
            </w:tcBorders>
            <w:shd w:val="clear" w:color="auto" w:fill="FFFFFF"/>
            <w:vAlign w:val="bottom"/>
          </w:tcPr>
          <w:p w14:paraId="6E5272C7" w14:textId="77777777" w:rsidR="00E56313" w:rsidRPr="00E56313" w:rsidRDefault="00E56313" w:rsidP="00E56313">
            <w:pPr>
              <w:rPr>
                <w:rFonts w:cs="Times New Roman"/>
                <w:bCs/>
                <w:sz w:val="22"/>
                <w:szCs w:val="22"/>
              </w:rPr>
            </w:pPr>
            <w:r w:rsidRPr="00E56313">
              <w:rPr>
                <w:rFonts w:cs="Times New Roman"/>
                <w:bCs/>
                <w:sz w:val="22"/>
                <w:szCs w:val="22"/>
              </w:rPr>
              <w:t>Adj. R</w:t>
            </w:r>
            <w:r w:rsidRPr="00E56313">
              <w:rPr>
                <w:rFonts w:cs="Times New Roman"/>
                <w:bCs/>
                <w:sz w:val="22"/>
                <w:szCs w:val="22"/>
                <w:vertAlign w:val="superscript"/>
              </w:rPr>
              <w:t>2</w:t>
            </w:r>
          </w:p>
        </w:tc>
        <w:tc>
          <w:tcPr>
            <w:tcW w:w="990" w:type="dxa"/>
            <w:vMerge w:val="restart"/>
            <w:tcBorders>
              <w:top w:val="single" w:sz="12" w:space="0" w:color="auto"/>
              <w:left w:val="nil"/>
              <w:bottom w:val="nil"/>
              <w:right w:val="nil"/>
            </w:tcBorders>
            <w:shd w:val="clear" w:color="auto" w:fill="FFFFFF"/>
            <w:vAlign w:val="bottom"/>
          </w:tcPr>
          <w:p w14:paraId="6C0A3141" w14:textId="77777777" w:rsidR="00E56313" w:rsidRPr="00E56313" w:rsidRDefault="00E56313" w:rsidP="00E56313">
            <w:pPr>
              <w:rPr>
                <w:rFonts w:cs="Times New Roman"/>
                <w:bCs/>
                <w:sz w:val="22"/>
                <w:szCs w:val="22"/>
              </w:rPr>
            </w:pPr>
            <w:r w:rsidRPr="00E56313">
              <w:rPr>
                <w:rFonts w:cs="Times New Roman"/>
                <w:bCs/>
                <w:sz w:val="22"/>
                <w:szCs w:val="22"/>
              </w:rPr>
              <w:t>Std. Error.</w:t>
            </w:r>
          </w:p>
        </w:tc>
        <w:tc>
          <w:tcPr>
            <w:tcW w:w="4050" w:type="dxa"/>
            <w:gridSpan w:val="5"/>
            <w:tcBorders>
              <w:top w:val="single" w:sz="12" w:space="0" w:color="auto"/>
              <w:left w:val="nil"/>
              <w:bottom w:val="nil"/>
              <w:right w:val="nil"/>
            </w:tcBorders>
            <w:shd w:val="clear" w:color="auto" w:fill="FFFFFF"/>
            <w:vAlign w:val="bottom"/>
          </w:tcPr>
          <w:p w14:paraId="5E107948" w14:textId="77777777" w:rsidR="00E56313" w:rsidRPr="00E56313" w:rsidRDefault="00E56313" w:rsidP="00E56313">
            <w:pPr>
              <w:rPr>
                <w:rFonts w:cs="Times New Roman"/>
                <w:bCs/>
                <w:sz w:val="22"/>
                <w:szCs w:val="22"/>
              </w:rPr>
            </w:pPr>
            <w:r w:rsidRPr="00E56313">
              <w:rPr>
                <w:rFonts w:cs="Times New Roman"/>
                <w:bCs/>
                <w:sz w:val="22"/>
                <w:szCs w:val="22"/>
              </w:rPr>
              <w:t>Change Statistics</w:t>
            </w:r>
          </w:p>
        </w:tc>
      </w:tr>
      <w:tr w:rsidR="00E56313" w:rsidRPr="00E56313" w14:paraId="52EC6DEF" w14:textId="77777777" w:rsidTr="00F63480">
        <w:trPr>
          <w:cantSplit/>
        </w:trPr>
        <w:tc>
          <w:tcPr>
            <w:tcW w:w="720" w:type="dxa"/>
            <w:vMerge/>
            <w:tcBorders>
              <w:top w:val="nil"/>
              <w:left w:val="nil"/>
              <w:bottom w:val="nil"/>
              <w:right w:val="nil"/>
            </w:tcBorders>
            <w:shd w:val="clear" w:color="auto" w:fill="FFFFFF"/>
            <w:vAlign w:val="bottom"/>
          </w:tcPr>
          <w:p w14:paraId="41E2ED6D" w14:textId="77777777" w:rsidR="00E56313" w:rsidRPr="00E56313" w:rsidRDefault="00E56313" w:rsidP="00E56313">
            <w:pPr>
              <w:rPr>
                <w:rFonts w:cs="Times New Roman"/>
                <w:bCs/>
                <w:sz w:val="22"/>
                <w:szCs w:val="22"/>
              </w:rPr>
            </w:pPr>
          </w:p>
        </w:tc>
        <w:tc>
          <w:tcPr>
            <w:tcW w:w="720" w:type="dxa"/>
            <w:vMerge/>
            <w:tcBorders>
              <w:top w:val="nil"/>
              <w:left w:val="nil"/>
              <w:bottom w:val="nil"/>
              <w:right w:val="nil"/>
            </w:tcBorders>
            <w:shd w:val="clear" w:color="auto" w:fill="FFFFFF"/>
            <w:vAlign w:val="bottom"/>
          </w:tcPr>
          <w:p w14:paraId="39BB5420" w14:textId="77777777" w:rsidR="00E56313" w:rsidRPr="00E56313" w:rsidRDefault="00E56313" w:rsidP="00E56313">
            <w:pPr>
              <w:rPr>
                <w:rFonts w:cs="Times New Roman"/>
                <w:bCs/>
                <w:sz w:val="22"/>
                <w:szCs w:val="22"/>
              </w:rPr>
            </w:pPr>
          </w:p>
        </w:tc>
        <w:tc>
          <w:tcPr>
            <w:tcW w:w="830" w:type="dxa"/>
            <w:vMerge/>
            <w:tcBorders>
              <w:top w:val="nil"/>
              <w:left w:val="nil"/>
              <w:bottom w:val="nil"/>
              <w:right w:val="nil"/>
            </w:tcBorders>
            <w:shd w:val="clear" w:color="auto" w:fill="FFFFFF"/>
            <w:vAlign w:val="bottom"/>
          </w:tcPr>
          <w:p w14:paraId="62972E2F" w14:textId="77777777" w:rsidR="00E56313" w:rsidRPr="00E56313" w:rsidRDefault="00E56313" w:rsidP="00E56313">
            <w:pPr>
              <w:rPr>
                <w:rFonts w:cs="Times New Roman"/>
                <w:bCs/>
                <w:sz w:val="22"/>
                <w:szCs w:val="22"/>
              </w:rPr>
            </w:pPr>
          </w:p>
        </w:tc>
        <w:tc>
          <w:tcPr>
            <w:tcW w:w="900" w:type="dxa"/>
            <w:vMerge/>
            <w:tcBorders>
              <w:top w:val="nil"/>
              <w:left w:val="nil"/>
              <w:bottom w:val="nil"/>
              <w:right w:val="nil"/>
            </w:tcBorders>
            <w:shd w:val="clear" w:color="auto" w:fill="FFFFFF"/>
            <w:vAlign w:val="bottom"/>
          </w:tcPr>
          <w:p w14:paraId="5CD3A3C1" w14:textId="77777777" w:rsidR="00E56313" w:rsidRPr="00E56313" w:rsidRDefault="00E56313" w:rsidP="00E56313">
            <w:pPr>
              <w:rPr>
                <w:rFonts w:cs="Times New Roman"/>
                <w:bCs/>
                <w:sz w:val="22"/>
                <w:szCs w:val="22"/>
              </w:rPr>
            </w:pPr>
          </w:p>
        </w:tc>
        <w:tc>
          <w:tcPr>
            <w:tcW w:w="990" w:type="dxa"/>
            <w:vMerge/>
            <w:tcBorders>
              <w:top w:val="nil"/>
              <w:left w:val="nil"/>
              <w:bottom w:val="nil"/>
              <w:right w:val="nil"/>
            </w:tcBorders>
            <w:shd w:val="clear" w:color="auto" w:fill="FFFFFF"/>
            <w:vAlign w:val="bottom"/>
          </w:tcPr>
          <w:p w14:paraId="3E3E056B" w14:textId="77777777" w:rsidR="00E56313" w:rsidRPr="00E56313" w:rsidRDefault="00E56313" w:rsidP="00E56313">
            <w:pPr>
              <w:rPr>
                <w:rFonts w:cs="Times New Roman"/>
                <w:bCs/>
                <w:sz w:val="22"/>
                <w:szCs w:val="22"/>
              </w:rPr>
            </w:pPr>
          </w:p>
        </w:tc>
        <w:tc>
          <w:tcPr>
            <w:tcW w:w="1080" w:type="dxa"/>
            <w:tcBorders>
              <w:top w:val="nil"/>
              <w:left w:val="nil"/>
              <w:bottom w:val="single" w:sz="4" w:space="0" w:color="auto"/>
              <w:right w:val="nil"/>
            </w:tcBorders>
            <w:shd w:val="clear" w:color="auto" w:fill="FFFFFF"/>
            <w:vAlign w:val="bottom"/>
          </w:tcPr>
          <w:p w14:paraId="6C62BFB2" w14:textId="77777777" w:rsidR="00E56313" w:rsidRPr="00E56313" w:rsidRDefault="00E56313" w:rsidP="00E56313">
            <w:pPr>
              <w:rPr>
                <w:rFonts w:cs="Times New Roman"/>
                <w:bCs/>
                <w:sz w:val="22"/>
                <w:szCs w:val="22"/>
              </w:rPr>
            </w:pPr>
            <w:r w:rsidRPr="00E56313">
              <w:rPr>
                <w:rFonts w:cs="Times New Roman"/>
                <w:bCs/>
                <w:sz w:val="22"/>
                <w:szCs w:val="22"/>
              </w:rPr>
              <w:t>R</w:t>
            </w:r>
            <w:r w:rsidRPr="00E56313">
              <w:rPr>
                <w:rFonts w:cs="Times New Roman"/>
                <w:bCs/>
                <w:sz w:val="22"/>
                <w:szCs w:val="22"/>
                <w:vertAlign w:val="superscript"/>
              </w:rPr>
              <w:t>2</w:t>
            </w:r>
            <w:r w:rsidRPr="00E56313">
              <w:rPr>
                <w:rFonts w:cs="Times New Roman"/>
                <w:bCs/>
                <w:sz w:val="22"/>
                <w:szCs w:val="22"/>
              </w:rPr>
              <w:t xml:space="preserve"> Change</w:t>
            </w:r>
          </w:p>
        </w:tc>
        <w:tc>
          <w:tcPr>
            <w:tcW w:w="900" w:type="dxa"/>
            <w:tcBorders>
              <w:top w:val="nil"/>
              <w:left w:val="nil"/>
              <w:bottom w:val="single" w:sz="4" w:space="0" w:color="auto"/>
              <w:right w:val="nil"/>
            </w:tcBorders>
            <w:shd w:val="clear" w:color="auto" w:fill="FFFFFF"/>
            <w:vAlign w:val="bottom"/>
          </w:tcPr>
          <w:p w14:paraId="23610A19" w14:textId="77777777" w:rsidR="00E56313" w:rsidRPr="00E56313" w:rsidRDefault="00E56313" w:rsidP="00E56313">
            <w:pPr>
              <w:rPr>
                <w:rFonts w:cs="Times New Roman"/>
                <w:bCs/>
                <w:sz w:val="22"/>
                <w:szCs w:val="22"/>
              </w:rPr>
            </w:pPr>
            <w:r w:rsidRPr="00E56313">
              <w:rPr>
                <w:rFonts w:cs="Times New Roman"/>
                <w:bCs/>
                <w:sz w:val="22"/>
                <w:szCs w:val="22"/>
              </w:rPr>
              <w:t>F Change</w:t>
            </w:r>
          </w:p>
        </w:tc>
        <w:tc>
          <w:tcPr>
            <w:tcW w:w="450" w:type="dxa"/>
            <w:tcBorders>
              <w:top w:val="nil"/>
              <w:left w:val="nil"/>
              <w:bottom w:val="single" w:sz="4" w:space="0" w:color="auto"/>
              <w:right w:val="nil"/>
            </w:tcBorders>
            <w:shd w:val="clear" w:color="auto" w:fill="FFFFFF"/>
            <w:vAlign w:val="bottom"/>
          </w:tcPr>
          <w:p w14:paraId="5CCD336D" w14:textId="77777777" w:rsidR="00E56313" w:rsidRPr="00E56313" w:rsidRDefault="00E56313" w:rsidP="00E56313">
            <w:pPr>
              <w:rPr>
                <w:rFonts w:cs="Times New Roman"/>
                <w:bCs/>
                <w:sz w:val="22"/>
                <w:szCs w:val="22"/>
              </w:rPr>
            </w:pPr>
            <w:r w:rsidRPr="00E56313">
              <w:rPr>
                <w:rFonts w:cs="Times New Roman"/>
                <w:bCs/>
                <w:sz w:val="22"/>
                <w:szCs w:val="22"/>
              </w:rPr>
              <w:t>df1</w:t>
            </w:r>
          </w:p>
        </w:tc>
        <w:tc>
          <w:tcPr>
            <w:tcW w:w="630" w:type="dxa"/>
            <w:tcBorders>
              <w:top w:val="nil"/>
              <w:left w:val="nil"/>
              <w:bottom w:val="single" w:sz="4" w:space="0" w:color="auto"/>
              <w:right w:val="nil"/>
            </w:tcBorders>
            <w:shd w:val="clear" w:color="auto" w:fill="FFFFFF"/>
            <w:vAlign w:val="bottom"/>
          </w:tcPr>
          <w:p w14:paraId="473ACE57" w14:textId="77777777" w:rsidR="00E56313" w:rsidRPr="00E56313" w:rsidRDefault="00E56313" w:rsidP="00E56313">
            <w:pPr>
              <w:rPr>
                <w:rFonts w:cs="Times New Roman"/>
                <w:bCs/>
                <w:sz w:val="22"/>
                <w:szCs w:val="22"/>
              </w:rPr>
            </w:pPr>
            <w:r w:rsidRPr="00E56313">
              <w:rPr>
                <w:rFonts w:cs="Times New Roman"/>
                <w:bCs/>
                <w:sz w:val="22"/>
                <w:szCs w:val="22"/>
              </w:rPr>
              <w:t>df2</w:t>
            </w:r>
          </w:p>
        </w:tc>
        <w:tc>
          <w:tcPr>
            <w:tcW w:w="990" w:type="dxa"/>
            <w:tcBorders>
              <w:top w:val="nil"/>
              <w:left w:val="nil"/>
              <w:bottom w:val="single" w:sz="4" w:space="0" w:color="auto"/>
              <w:right w:val="nil"/>
            </w:tcBorders>
            <w:shd w:val="clear" w:color="auto" w:fill="FFFFFF"/>
            <w:vAlign w:val="bottom"/>
          </w:tcPr>
          <w:p w14:paraId="360AAF1B" w14:textId="77777777" w:rsidR="00E56313" w:rsidRPr="00E56313" w:rsidRDefault="00E56313" w:rsidP="00E56313">
            <w:pPr>
              <w:rPr>
                <w:rFonts w:cs="Times New Roman"/>
                <w:bCs/>
                <w:sz w:val="22"/>
                <w:szCs w:val="22"/>
              </w:rPr>
            </w:pPr>
            <w:r w:rsidRPr="00E56313">
              <w:rPr>
                <w:rFonts w:cs="Times New Roman"/>
                <w:bCs/>
                <w:sz w:val="22"/>
                <w:szCs w:val="22"/>
              </w:rPr>
              <w:t>Sig.</w:t>
            </w:r>
          </w:p>
        </w:tc>
      </w:tr>
      <w:tr w:rsidR="00E56313" w:rsidRPr="00E56313" w14:paraId="22FC201A" w14:textId="77777777" w:rsidTr="00F63480">
        <w:trPr>
          <w:cantSplit/>
        </w:trPr>
        <w:tc>
          <w:tcPr>
            <w:tcW w:w="720" w:type="dxa"/>
            <w:tcBorders>
              <w:top w:val="nil"/>
              <w:left w:val="nil"/>
              <w:bottom w:val="single" w:sz="12" w:space="0" w:color="auto"/>
              <w:right w:val="nil"/>
            </w:tcBorders>
            <w:shd w:val="clear" w:color="auto" w:fill="FFFFFF"/>
          </w:tcPr>
          <w:p w14:paraId="53423C78"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720" w:type="dxa"/>
            <w:tcBorders>
              <w:top w:val="nil"/>
              <w:left w:val="nil"/>
              <w:bottom w:val="single" w:sz="12" w:space="0" w:color="auto"/>
              <w:right w:val="nil"/>
            </w:tcBorders>
            <w:shd w:val="clear" w:color="auto" w:fill="FFFFFF"/>
            <w:vAlign w:val="center"/>
          </w:tcPr>
          <w:p w14:paraId="2F16AED9" w14:textId="77777777" w:rsidR="00E56313" w:rsidRPr="00E56313" w:rsidRDefault="00E56313" w:rsidP="00E56313">
            <w:pPr>
              <w:rPr>
                <w:rFonts w:cs="Times New Roman"/>
                <w:bCs/>
                <w:sz w:val="22"/>
                <w:szCs w:val="22"/>
              </w:rPr>
            </w:pPr>
            <w:r w:rsidRPr="00E56313">
              <w:rPr>
                <w:rFonts w:cs="Times New Roman"/>
                <w:bCs/>
                <w:sz w:val="22"/>
                <w:szCs w:val="22"/>
              </w:rPr>
              <w:t>.561</w:t>
            </w:r>
            <w:r w:rsidRPr="00E56313">
              <w:rPr>
                <w:rFonts w:cs="Times New Roman"/>
                <w:bCs/>
                <w:sz w:val="22"/>
                <w:szCs w:val="22"/>
                <w:vertAlign w:val="superscript"/>
              </w:rPr>
              <w:t>a</w:t>
            </w:r>
          </w:p>
        </w:tc>
        <w:tc>
          <w:tcPr>
            <w:tcW w:w="830" w:type="dxa"/>
            <w:tcBorders>
              <w:top w:val="nil"/>
              <w:left w:val="nil"/>
              <w:bottom w:val="single" w:sz="12" w:space="0" w:color="auto"/>
              <w:right w:val="nil"/>
            </w:tcBorders>
            <w:shd w:val="clear" w:color="auto" w:fill="FFFFFF"/>
            <w:vAlign w:val="center"/>
          </w:tcPr>
          <w:p w14:paraId="143E79DA" w14:textId="77777777" w:rsidR="00E56313" w:rsidRPr="00E56313" w:rsidRDefault="00E56313" w:rsidP="00E56313">
            <w:pPr>
              <w:rPr>
                <w:rFonts w:cs="Times New Roman"/>
                <w:bCs/>
                <w:sz w:val="22"/>
                <w:szCs w:val="22"/>
              </w:rPr>
            </w:pPr>
            <w:r w:rsidRPr="00E56313">
              <w:rPr>
                <w:rFonts w:cs="Times New Roman"/>
                <w:bCs/>
                <w:sz w:val="22"/>
                <w:szCs w:val="22"/>
              </w:rPr>
              <w:t>.315</w:t>
            </w:r>
          </w:p>
        </w:tc>
        <w:tc>
          <w:tcPr>
            <w:tcW w:w="900" w:type="dxa"/>
            <w:tcBorders>
              <w:top w:val="nil"/>
              <w:left w:val="nil"/>
              <w:bottom w:val="single" w:sz="12" w:space="0" w:color="auto"/>
              <w:right w:val="nil"/>
            </w:tcBorders>
            <w:shd w:val="clear" w:color="auto" w:fill="FFFFFF"/>
            <w:vAlign w:val="center"/>
          </w:tcPr>
          <w:p w14:paraId="3BD54A75" w14:textId="77777777" w:rsidR="00E56313" w:rsidRPr="00E56313" w:rsidRDefault="00E56313" w:rsidP="00E56313">
            <w:pPr>
              <w:rPr>
                <w:rFonts w:cs="Times New Roman"/>
                <w:bCs/>
                <w:sz w:val="22"/>
                <w:szCs w:val="22"/>
              </w:rPr>
            </w:pPr>
            <w:r w:rsidRPr="00E56313">
              <w:rPr>
                <w:rFonts w:cs="Times New Roman"/>
                <w:bCs/>
                <w:sz w:val="22"/>
                <w:szCs w:val="22"/>
              </w:rPr>
              <w:t>.309</w:t>
            </w:r>
          </w:p>
        </w:tc>
        <w:tc>
          <w:tcPr>
            <w:tcW w:w="990" w:type="dxa"/>
            <w:tcBorders>
              <w:top w:val="nil"/>
              <w:left w:val="nil"/>
              <w:bottom w:val="single" w:sz="12" w:space="0" w:color="auto"/>
              <w:right w:val="nil"/>
            </w:tcBorders>
            <w:shd w:val="clear" w:color="auto" w:fill="FFFFFF"/>
            <w:vAlign w:val="center"/>
          </w:tcPr>
          <w:p w14:paraId="00962F11" w14:textId="77777777" w:rsidR="00E56313" w:rsidRPr="00E56313" w:rsidRDefault="00E56313" w:rsidP="00E56313">
            <w:pPr>
              <w:rPr>
                <w:rFonts w:cs="Times New Roman"/>
                <w:bCs/>
                <w:sz w:val="22"/>
                <w:szCs w:val="22"/>
              </w:rPr>
            </w:pPr>
            <w:r w:rsidRPr="00E56313">
              <w:rPr>
                <w:rFonts w:cs="Times New Roman"/>
                <w:bCs/>
                <w:sz w:val="22"/>
                <w:szCs w:val="22"/>
              </w:rPr>
              <w:t>.64294</w:t>
            </w:r>
          </w:p>
        </w:tc>
        <w:tc>
          <w:tcPr>
            <w:tcW w:w="1080" w:type="dxa"/>
            <w:tcBorders>
              <w:top w:val="single" w:sz="4" w:space="0" w:color="auto"/>
              <w:left w:val="nil"/>
              <w:bottom w:val="single" w:sz="12" w:space="0" w:color="auto"/>
              <w:right w:val="nil"/>
            </w:tcBorders>
            <w:shd w:val="clear" w:color="auto" w:fill="FFFFFF"/>
            <w:vAlign w:val="center"/>
          </w:tcPr>
          <w:p w14:paraId="1C985A5F" w14:textId="77777777" w:rsidR="00E56313" w:rsidRPr="00E56313" w:rsidRDefault="00E56313" w:rsidP="00E56313">
            <w:pPr>
              <w:rPr>
                <w:rFonts w:cs="Times New Roman"/>
                <w:bCs/>
                <w:sz w:val="22"/>
                <w:szCs w:val="22"/>
              </w:rPr>
            </w:pPr>
            <w:r w:rsidRPr="00E56313">
              <w:rPr>
                <w:rFonts w:cs="Times New Roman"/>
                <w:bCs/>
                <w:sz w:val="22"/>
                <w:szCs w:val="22"/>
              </w:rPr>
              <w:t>.315</w:t>
            </w:r>
          </w:p>
        </w:tc>
        <w:tc>
          <w:tcPr>
            <w:tcW w:w="900" w:type="dxa"/>
            <w:tcBorders>
              <w:top w:val="single" w:sz="4" w:space="0" w:color="auto"/>
              <w:left w:val="nil"/>
              <w:bottom w:val="single" w:sz="12" w:space="0" w:color="auto"/>
              <w:right w:val="nil"/>
            </w:tcBorders>
            <w:shd w:val="clear" w:color="auto" w:fill="FFFFFF"/>
            <w:vAlign w:val="center"/>
          </w:tcPr>
          <w:p w14:paraId="1BCFB506" w14:textId="77777777" w:rsidR="00E56313" w:rsidRPr="00E56313" w:rsidRDefault="00E56313" w:rsidP="00E56313">
            <w:pPr>
              <w:rPr>
                <w:rFonts w:cs="Times New Roman"/>
                <w:bCs/>
                <w:sz w:val="22"/>
                <w:szCs w:val="22"/>
              </w:rPr>
            </w:pPr>
            <w:r w:rsidRPr="00E56313">
              <w:rPr>
                <w:rFonts w:cs="Times New Roman"/>
                <w:bCs/>
                <w:sz w:val="22"/>
                <w:szCs w:val="22"/>
              </w:rPr>
              <w:t>58.749</w:t>
            </w:r>
          </w:p>
        </w:tc>
        <w:tc>
          <w:tcPr>
            <w:tcW w:w="450" w:type="dxa"/>
            <w:tcBorders>
              <w:top w:val="single" w:sz="4" w:space="0" w:color="auto"/>
              <w:left w:val="nil"/>
              <w:bottom w:val="single" w:sz="12" w:space="0" w:color="auto"/>
              <w:right w:val="nil"/>
            </w:tcBorders>
            <w:shd w:val="clear" w:color="auto" w:fill="FFFFFF"/>
            <w:vAlign w:val="center"/>
          </w:tcPr>
          <w:p w14:paraId="0A60633D" w14:textId="77777777" w:rsidR="00E56313" w:rsidRPr="00E56313" w:rsidRDefault="00E56313" w:rsidP="00E56313">
            <w:pPr>
              <w:rPr>
                <w:rFonts w:cs="Times New Roman"/>
                <w:bCs/>
                <w:sz w:val="22"/>
                <w:szCs w:val="22"/>
              </w:rPr>
            </w:pPr>
            <w:r w:rsidRPr="00E56313">
              <w:rPr>
                <w:rFonts w:cs="Times New Roman"/>
                <w:bCs/>
                <w:sz w:val="22"/>
                <w:szCs w:val="22"/>
              </w:rPr>
              <w:t>3</w:t>
            </w:r>
          </w:p>
        </w:tc>
        <w:tc>
          <w:tcPr>
            <w:tcW w:w="630" w:type="dxa"/>
            <w:tcBorders>
              <w:top w:val="single" w:sz="4" w:space="0" w:color="auto"/>
              <w:left w:val="nil"/>
              <w:bottom w:val="single" w:sz="12" w:space="0" w:color="auto"/>
              <w:right w:val="nil"/>
            </w:tcBorders>
            <w:shd w:val="clear" w:color="auto" w:fill="FFFFFF"/>
            <w:vAlign w:val="center"/>
          </w:tcPr>
          <w:p w14:paraId="2ECBD1E6" w14:textId="77777777" w:rsidR="00E56313" w:rsidRPr="00E56313" w:rsidRDefault="00E56313" w:rsidP="00E56313">
            <w:pPr>
              <w:rPr>
                <w:rFonts w:cs="Times New Roman"/>
                <w:bCs/>
                <w:sz w:val="22"/>
                <w:szCs w:val="22"/>
              </w:rPr>
            </w:pPr>
            <w:r w:rsidRPr="00E56313">
              <w:rPr>
                <w:rFonts w:cs="Times New Roman"/>
                <w:bCs/>
                <w:sz w:val="22"/>
                <w:szCs w:val="22"/>
              </w:rPr>
              <w:t>384</w:t>
            </w:r>
          </w:p>
        </w:tc>
        <w:tc>
          <w:tcPr>
            <w:tcW w:w="990" w:type="dxa"/>
            <w:tcBorders>
              <w:top w:val="single" w:sz="4" w:space="0" w:color="auto"/>
              <w:left w:val="nil"/>
              <w:bottom w:val="single" w:sz="12" w:space="0" w:color="auto"/>
              <w:right w:val="nil"/>
            </w:tcBorders>
            <w:shd w:val="clear" w:color="auto" w:fill="FFFFFF"/>
            <w:vAlign w:val="center"/>
          </w:tcPr>
          <w:p w14:paraId="5C401F42"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63119F42" w14:textId="77777777" w:rsidTr="00F63480">
        <w:trPr>
          <w:cantSplit/>
        </w:trPr>
        <w:tc>
          <w:tcPr>
            <w:tcW w:w="8210" w:type="dxa"/>
            <w:gridSpan w:val="10"/>
            <w:tcBorders>
              <w:top w:val="single" w:sz="12" w:space="0" w:color="auto"/>
              <w:left w:val="nil"/>
              <w:bottom w:val="nil"/>
              <w:right w:val="nil"/>
            </w:tcBorders>
            <w:shd w:val="clear" w:color="auto" w:fill="FFFFFF"/>
          </w:tcPr>
          <w:p w14:paraId="3D683DA4" w14:textId="77777777" w:rsidR="00E56313" w:rsidRPr="00E56313" w:rsidRDefault="00E56313" w:rsidP="00E56313">
            <w:pPr>
              <w:rPr>
                <w:rFonts w:cs="Times New Roman"/>
                <w:bCs/>
                <w:sz w:val="22"/>
                <w:szCs w:val="22"/>
              </w:rPr>
            </w:pPr>
            <w:r w:rsidRPr="00E56313">
              <w:rPr>
                <w:rFonts w:cs="Times New Roman"/>
                <w:bCs/>
                <w:sz w:val="22"/>
                <w:szCs w:val="22"/>
              </w:rPr>
              <w:t>a. Predictors: (Constant), WILLP, SUBN, CA</w:t>
            </w:r>
          </w:p>
        </w:tc>
      </w:tr>
      <w:tr w:rsidR="00E56313" w:rsidRPr="00E56313" w14:paraId="3FFA74FC" w14:textId="77777777" w:rsidTr="00F63480">
        <w:trPr>
          <w:cantSplit/>
        </w:trPr>
        <w:tc>
          <w:tcPr>
            <w:tcW w:w="8210" w:type="dxa"/>
            <w:gridSpan w:val="10"/>
            <w:tcBorders>
              <w:top w:val="nil"/>
              <w:left w:val="nil"/>
              <w:bottom w:val="nil"/>
              <w:right w:val="nil"/>
            </w:tcBorders>
            <w:shd w:val="clear" w:color="auto" w:fill="FFFFFF"/>
          </w:tcPr>
          <w:p w14:paraId="36178949" w14:textId="77777777" w:rsidR="00E56313" w:rsidRPr="00E56313" w:rsidRDefault="00E56313" w:rsidP="00E56313">
            <w:pPr>
              <w:rPr>
                <w:rFonts w:cs="Times New Roman"/>
                <w:bCs/>
                <w:sz w:val="22"/>
                <w:szCs w:val="22"/>
              </w:rPr>
            </w:pPr>
            <w:r w:rsidRPr="00E56313">
              <w:rPr>
                <w:rFonts w:cs="Times New Roman"/>
                <w:bCs/>
                <w:sz w:val="22"/>
                <w:szCs w:val="22"/>
              </w:rPr>
              <w:t>b. Dependent Variable: GIP</w:t>
            </w:r>
          </w:p>
        </w:tc>
      </w:tr>
    </w:tbl>
    <w:p w14:paraId="0666BB9F" w14:textId="77777777" w:rsidR="00E56313" w:rsidRPr="00E56313" w:rsidRDefault="00E56313" w:rsidP="00E56313">
      <w:pPr>
        <w:rPr>
          <w:rFonts w:cs="Times New Roman"/>
          <w:bCs/>
          <w:i/>
          <w:sz w:val="22"/>
          <w:szCs w:val="22"/>
        </w:rPr>
      </w:pPr>
      <w:r w:rsidRPr="00E56313">
        <w:rPr>
          <w:rFonts w:cs="Times New Roman"/>
          <w:bCs/>
          <w:i/>
          <w:sz w:val="22"/>
          <w:szCs w:val="22"/>
        </w:rPr>
        <w:t>Source: SPPS Version 23 Output, 2024.</w:t>
      </w:r>
    </w:p>
    <w:p w14:paraId="2E386E99" w14:textId="77777777" w:rsidR="00E56313" w:rsidRPr="00E56313" w:rsidRDefault="00E56313" w:rsidP="00E56313">
      <w:pPr>
        <w:rPr>
          <w:rFonts w:cs="Times New Roman"/>
          <w:bCs/>
          <w:sz w:val="22"/>
          <w:szCs w:val="22"/>
        </w:rPr>
      </w:pPr>
      <w:r w:rsidRPr="00E56313">
        <w:rPr>
          <w:rFonts w:cs="Times New Roman"/>
          <w:bCs/>
          <w:sz w:val="22"/>
          <w:szCs w:val="22"/>
        </w:rPr>
        <w:t>Table 2 presents the regression model summary that provides detail and sufficient information about the characteristics of the study model. R represents the correlation between the dependent and independent variables. If R-value is greater than 0.4, it is considered as fair and good, (Jain &amp; Chetty, 2019). In respect to this study, the R-value was .561, which mean it is fair and good. R</w:t>
      </w:r>
      <w:r w:rsidRPr="00E56313">
        <w:rPr>
          <w:rFonts w:cs="Times New Roman"/>
          <w:bCs/>
          <w:sz w:val="22"/>
          <w:szCs w:val="22"/>
          <w:vertAlign w:val="superscript"/>
        </w:rPr>
        <w:t>2</w:t>
      </w:r>
      <w:r w:rsidRPr="00E56313">
        <w:rPr>
          <w:rFonts w:cs="Times New Roman"/>
          <w:bCs/>
          <w:sz w:val="22"/>
          <w:szCs w:val="22"/>
        </w:rPr>
        <w:t xml:space="preserve"> represents the total variation of the dependent variable that can be explained by the independent variables. If R</w:t>
      </w:r>
      <w:r w:rsidRPr="00E56313">
        <w:rPr>
          <w:rFonts w:cs="Times New Roman"/>
          <w:bCs/>
          <w:sz w:val="22"/>
          <w:szCs w:val="22"/>
          <w:vertAlign w:val="superscript"/>
        </w:rPr>
        <w:t>2</w:t>
      </w:r>
      <w:r w:rsidRPr="00E56313">
        <w:rPr>
          <w:rFonts w:cs="Times New Roman"/>
          <w:bCs/>
          <w:sz w:val="22"/>
          <w:szCs w:val="22"/>
        </w:rPr>
        <w:t xml:space="preserve"> value is greater than 0.5, means that the model is effective enough to determine the relationship between the independent and dependent variable (Jain &amp; Chetty, 2019). However, Ozili (2023) believes that a small R</w:t>
      </w:r>
      <w:r w:rsidRPr="00E56313">
        <w:rPr>
          <w:rFonts w:cs="Times New Roman"/>
          <w:bCs/>
          <w:sz w:val="22"/>
          <w:szCs w:val="22"/>
          <w:vertAlign w:val="superscript"/>
        </w:rPr>
        <w:t>2</w:t>
      </w:r>
      <w:r w:rsidRPr="00E56313">
        <w:rPr>
          <w:rFonts w:cs="Times New Roman"/>
          <w:bCs/>
          <w:sz w:val="22"/>
          <w:szCs w:val="22"/>
        </w:rPr>
        <w:t xml:space="preserve"> model is not always undesirable. This is because most social science research models are not intended to anticipate human behavior. Instead, the purpose is often to determine if particular indicators or explanation variables have a meaningful impact on the dependent variable. As a result, a small R2 of at least 0.1 is acceptable, provided that some or all of the predictor variables are statistically significant. In this study, the R</w:t>
      </w:r>
      <w:r w:rsidRPr="00E56313">
        <w:rPr>
          <w:rFonts w:cs="Times New Roman"/>
          <w:bCs/>
          <w:sz w:val="22"/>
          <w:szCs w:val="22"/>
          <w:vertAlign w:val="superscript"/>
        </w:rPr>
        <w:t xml:space="preserve">2 </w:t>
      </w:r>
      <w:r w:rsidRPr="00E56313">
        <w:rPr>
          <w:rFonts w:cs="Times New Roman"/>
          <w:bCs/>
          <w:sz w:val="22"/>
          <w:szCs w:val="22"/>
        </w:rPr>
        <w:t>value was .315 which is acceptable. An adjusted R</w:t>
      </w:r>
      <w:r w:rsidRPr="00E56313">
        <w:rPr>
          <w:rFonts w:cs="Times New Roman"/>
          <w:bCs/>
          <w:sz w:val="22"/>
          <w:szCs w:val="22"/>
          <w:vertAlign w:val="superscript"/>
        </w:rPr>
        <w:t>2</w:t>
      </w:r>
      <w:r w:rsidRPr="00E56313">
        <w:rPr>
          <w:rFonts w:cs="Times New Roman"/>
          <w:bCs/>
          <w:sz w:val="22"/>
          <w:szCs w:val="22"/>
        </w:rPr>
        <w:t xml:space="preserve"> value</w:t>
      </w:r>
      <w:r w:rsidRPr="00E56313">
        <w:rPr>
          <w:rFonts w:cs="Times New Roman"/>
          <w:bCs/>
          <w:sz w:val="22"/>
          <w:szCs w:val="22"/>
          <w:vertAlign w:val="superscript"/>
        </w:rPr>
        <w:t xml:space="preserve"> </w:t>
      </w:r>
      <w:r w:rsidRPr="00E56313">
        <w:rPr>
          <w:rFonts w:cs="Times New Roman"/>
          <w:bCs/>
          <w:sz w:val="22"/>
          <w:szCs w:val="22"/>
        </w:rPr>
        <w:t xml:space="preserve">displays the </w:t>
      </w:r>
      <w:r w:rsidRPr="00E56313">
        <w:rPr>
          <w:rFonts w:cs="Times New Roman"/>
          <w:bCs/>
          <w:sz w:val="22"/>
          <w:szCs w:val="22"/>
        </w:rPr>
        <w:lastRenderedPageBreak/>
        <w:t>generalization of the results in the model, which is the variability of the sample findings from the population in multiple regressions. It is required to have a difference between R</w:t>
      </w:r>
      <w:r w:rsidRPr="00E56313">
        <w:rPr>
          <w:rFonts w:cs="Times New Roman"/>
          <w:bCs/>
          <w:sz w:val="22"/>
          <w:szCs w:val="22"/>
          <w:vertAlign w:val="superscript"/>
        </w:rPr>
        <w:t>2</w:t>
      </w:r>
      <w:r w:rsidRPr="00E56313">
        <w:rPr>
          <w:rFonts w:cs="Times New Roman"/>
          <w:bCs/>
          <w:sz w:val="22"/>
          <w:szCs w:val="22"/>
        </w:rPr>
        <w:t xml:space="preserve"> and adjusted R</w:t>
      </w:r>
      <w:r w:rsidRPr="00E56313">
        <w:rPr>
          <w:rFonts w:cs="Times New Roman"/>
          <w:bCs/>
          <w:sz w:val="22"/>
          <w:szCs w:val="22"/>
          <w:vertAlign w:val="superscript"/>
        </w:rPr>
        <w:t>2</w:t>
      </w:r>
      <w:r w:rsidRPr="00E56313">
        <w:rPr>
          <w:rFonts w:cs="Times New Roman"/>
          <w:bCs/>
          <w:sz w:val="22"/>
          <w:szCs w:val="22"/>
        </w:rPr>
        <w:t xml:space="preserve"> minimum. In this study, the adjusted R</w:t>
      </w:r>
      <w:r w:rsidRPr="00E56313">
        <w:rPr>
          <w:rFonts w:cs="Times New Roman"/>
          <w:bCs/>
          <w:sz w:val="22"/>
          <w:szCs w:val="22"/>
          <w:vertAlign w:val="superscript"/>
        </w:rPr>
        <w:t>2</w:t>
      </w:r>
      <w:r w:rsidRPr="00E56313">
        <w:rPr>
          <w:rFonts w:cs="Times New Roman"/>
          <w:bCs/>
          <w:sz w:val="22"/>
          <w:szCs w:val="22"/>
        </w:rPr>
        <w:t xml:space="preserve"> value was .315, which is not far off from .309, so it was considered good as suggested by (Jain &amp; Chetty, 2019). As a result, the model summary table is adequate for moving further with the study. </w:t>
      </w:r>
    </w:p>
    <w:p w14:paraId="45F7A106" w14:textId="77777777" w:rsidR="00E56313" w:rsidRPr="00E56313" w:rsidRDefault="00E56313" w:rsidP="00E56313">
      <w:pPr>
        <w:rPr>
          <w:rFonts w:cs="Times New Roman"/>
          <w:b/>
          <w:bCs/>
          <w:sz w:val="22"/>
          <w:szCs w:val="22"/>
        </w:rPr>
      </w:pPr>
    </w:p>
    <w:p w14:paraId="59863E1C" w14:textId="0899E637" w:rsidR="00E56313" w:rsidRPr="00E56313" w:rsidRDefault="00E56313" w:rsidP="00E56313">
      <w:pPr>
        <w:rPr>
          <w:rFonts w:cs="Times New Roman"/>
          <w:b/>
          <w:bCs/>
          <w:sz w:val="22"/>
          <w:szCs w:val="22"/>
        </w:rPr>
      </w:pPr>
      <w:r w:rsidRPr="00E56313">
        <w:rPr>
          <w:rFonts w:cs="Times New Roman"/>
          <w:b/>
          <w:bCs/>
          <w:sz w:val="22"/>
          <w:szCs w:val="22"/>
        </w:rPr>
        <w:t>Table 3:</w:t>
      </w:r>
    </w:p>
    <w:p w14:paraId="0E0991DD" w14:textId="77777777" w:rsidR="00E56313" w:rsidRPr="00E56313" w:rsidRDefault="00E56313" w:rsidP="00E56313">
      <w:pPr>
        <w:rPr>
          <w:rFonts w:cs="Times New Roman"/>
          <w:bCs/>
          <w:i/>
          <w:sz w:val="22"/>
          <w:szCs w:val="22"/>
        </w:rPr>
      </w:pPr>
      <w:r w:rsidRPr="00E56313">
        <w:rPr>
          <w:rFonts w:cs="Times New Roman"/>
          <w:bCs/>
          <w:i/>
          <w:sz w:val="22"/>
          <w:szCs w:val="22"/>
        </w:rPr>
        <w:t>The ANOVA Table</w:t>
      </w:r>
    </w:p>
    <w:tbl>
      <w:tblPr>
        <w:tblW w:w="82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7"/>
        <w:gridCol w:w="1710"/>
        <w:gridCol w:w="1080"/>
        <w:gridCol w:w="1350"/>
        <w:gridCol w:w="990"/>
        <w:gridCol w:w="1080"/>
      </w:tblGrid>
      <w:tr w:rsidR="00E56313" w:rsidRPr="00E56313" w14:paraId="5B28BACE" w14:textId="77777777" w:rsidTr="00F63480">
        <w:trPr>
          <w:cantSplit/>
        </w:trPr>
        <w:tc>
          <w:tcPr>
            <w:tcW w:w="2000" w:type="dxa"/>
            <w:gridSpan w:val="2"/>
            <w:tcBorders>
              <w:top w:val="single" w:sz="12" w:space="0" w:color="auto"/>
              <w:left w:val="nil"/>
              <w:bottom w:val="single" w:sz="12" w:space="0" w:color="auto"/>
              <w:right w:val="nil"/>
            </w:tcBorders>
            <w:shd w:val="clear" w:color="auto" w:fill="FFFFFF"/>
            <w:vAlign w:val="bottom"/>
          </w:tcPr>
          <w:p w14:paraId="202D8F06" w14:textId="77777777" w:rsidR="00E56313" w:rsidRPr="00E56313" w:rsidRDefault="00E56313" w:rsidP="00E56313">
            <w:pPr>
              <w:rPr>
                <w:rFonts w:cs="Times New Roman"/>
                <w:bCs/>
                <w:sz w:val="22"/>
                <w:szCs w:val="22"/>
              </w:rPr>
            </w:pPr>
            <w:r w:rsidRPr="00E56313">
              <w:rPr>
                <w:rFonts w:cs="Times New Roman"/>
                <w:bCs/>
                <w:sz w:val="22"/>
                <w:szCs w:val="22"/>
              </w:rPr>
              <w:t>Model</w:t>
            </w:r>
          </w:p>
        </w:tc>
        <w:tc>
          <w:tcPr>
            <w:tcW w:w="1710" w:type="dxa"/>
            <w:tcBorders>
              <w:top w:val="single" w:sz="12" w:space="0" w:color="auto"/>
              <w:left w:val="nil"/>
              <w:bottom w:val="single" w:sz="12" w:space="0" w:color="auto"/>
              <w:right w:val="nil"/>
            </w:tcBorders>
            <w:shd w:val="clear" w:color="auto" w:fill="FFFFFF"/>
            <w:vAlign w:val="bottom"/>
          </w:tcPr>
          <w:p w14:paraId="0ED49474" w14:textId="77777777" w:rsidR="00E56313" w:rsidRPr="00E56313" w:rsidRDefault="00E56313" w:rsidP="00E56313">
            <w:pPr>
              <w:rPr>
                <w:rFonts w:cs="Times New Roman"/>
                <w:bCs/>
                <w:sz w:val="22"/>
                <w:szCs w:val="22"/>
              </w:rPr>
            </w:pPr>
            <w:r w:rsidRPr="00E56313">
              <w:rPr>
                <w:rFonts w:cs="Times New Roman"/>
                <w:bCs/>
                <w:sz w:val="22"/>
                <w:szCs w:val="22"/>
              </w:rPr>
              <w:t>Sum of Squares</w:t>
            </w:r>
          </w:p>
        </w:tc>
        <w:tc>
          <w:tcPr>
            <w:tcW w:w="1080" w:type="dxa"/>
            <w:tcBorders>
              <w:top w:val="single" w:sz="12" w:space="0" w:color="auto"/>
              <w:left w:val="nil"/>
              <w:bottom w:val="single" w:sz="12" w:space="0" w:color="auto"/>
              <w:right w:val="nil"/>
            </w:tcBorders>
            <w:shd w:val="clear" w:color="auto" w:fill="FFFFFF"/>
            <w:vAlign w:val="bottom"/>
          </w:tcPr>
          <w:p w14:paraId="0C4FCD42" w14:textId="77777777" w:rsidR="00E56313" w:rsidRPr="00E56313" w:rsidRDefault="00E56313" w:rsidP="00E56313">
            <w:pPr>
              <w:rPr>
                <w:rFonts w:cs="Times New Roman"/>
                <w:bCs/>
                <w:sz w:val="22"/>
                <w:szCs w:val="22"/>
              </w:rPr>
            </w:pPr>
            <w:r w:rsidRPr="00E56313">
              <w:rPr>
                <w:rFonts w:cs="Times New Roman"/>
                <w:bCs/>
                <w:sz w:val="22"/>
                <w:szCs w:val="22"/>
              </w:rPr>
              <w:t>DF</w:t>
            </w:r>
          </w:p>
        </w:tc>
        <w:tc>
          <w:tcPr>
            <w:tcW w:w="1350" w:type="dxa"/>
            <w:tcBorders>
              <w:top w:val="single" w:sz="12" w:space="0" w:color="auto"/>
              <w:left w:val="nil"/>
              <w:bottom w:val="single" w:sz="12" w:space="0" w:color="auto"/>
              <w:right w:val="nil"/>
            </w:tcBorders>
            <w:shd w:val="clear" w:color="auto" w:fill="FFFFFF"/>
            <w:vAlign w:val="bottom"/>
          </w:tcPr>
          <w:p w14:paraId="6C820968" w14:textId="77777777" w:rsidR="00E56313" w:rsidRPr="00E56313" w:rsidRDefault="00E56313" w:rsidP="00E56313">
            <w:pPr>
              <w:rPr>
                <w:rFonts w:cs="Times New Roman"/>
                <w:bCs/>
                <w:sz w:val="22"/>
                <w:szCs w:val="22"/>
              </w:rPr>
            </w:pPr>
            <w:r w:rsidRPr="00E56313">
              <w:rPr>
                <w:rFonts w:cs="Times New Roman"/>
                <w:bCs/>
                <w:sz w:val="22"/>
                <w:szCs w:val="22"/>
              </w:rPr>
              <w:t>Mean Square</w:t>
            </w:r>
          </w:p>
        </w:tc>
        <w:tc>
          <w:tcPr>
            <w:tcW w:w="990" w:type="dxa"/>
            <w:tcBorders>
              <w:top w:val="single" w:sz="12" w:space="0" w:color="auto"/>
              <w:left w:val="nil"/>
              <w:bottom w:val="single" w:sz="12" w:space="0" w:color="auto"/>
              <w:right w:val="nil"/>
            </w:tcBorders>
            <w:shd w:val="clear" w:color="auto" w:fill="FFFFFF"/>
            <w:vAlign w:val="bottom"/>
          </w:tcPr>
          <w:p w14:paraId="53AFCFF8" w14:textId="77777777" w:rsidR="00E56313" w:rsidRPr="00E56313" w:rsidRDefault="00E56313" w:rsidP="00E56313">
            <w:pPr>
              <w:rPr>
                <w:rFonts w:cs="Times New Roman"/>
                <w:bCs/>
                <w:sz w:val="22"/>
                <w:szCs w:val="22"/>
              </w:rPr>
            </w:pPr>
            <w:r w:rsidRPr="00E56313">
              <w:rPr>
                <w:rFonts w:cs="Times New Roman"/>
                <w:bCs/>
                <w:sz w:val="22"/>
                <w:szCs w:val="22"/>
              </w:rPr>
              <w:t>F</w:t>
            </w:r>
          </w:p>
        </w:tc>
        <w:tc>
          <w:tcPr>
            <w:tcW w:w="1080" w:type="dxa"/>
            <w:tcBorders>
              <w:top w:val="single" w:sz="12" w:space="0" w:color="auto"/>
              <w:left w:val="nil"/>
              <w:bottom w:val="single" w:sz="12" w:space="0" w:color="auto"/>
              <w:right w:val="nil"/>
            </w:tcBorders>
            <w:shd w:val="clear" w:color="auto" w:fill="FFFFFF"/>
            <w:vAlign w:val="bottom"/>
          </w:tcPr>
          <w:p w14:paraId="1ACA3A3B" w14:textId="77777777" w:rsidR="00E56313" w:rsidRPr="00E56313" w:rsidRDefault="00E56313" w:rsidP="00E56313">
            <w:pPr>
              <w:rPr>
                <w:rFonts w:cs="Times New Roman"/>
                <w:bCs/>
                <w:sz w:val="22"/>
                <w:szCs w:val="22"/>
              </w:rPr>
            </w:pPr>
            <w:r w:rsidRPr="00E56313">
              <w:rPr>
                <w:rFonts w:cs="Times New Roman"/>
                <w:bCs/>
                <w:sz w:val="22"/>
                <w:szCs w:val="22"/>
              </w:rPr>
              <w:t>P-Value</w:t>
            </w:r>
          </w:p>
        </w:tc>
      </w:tr>
      <w:tr w:rsidR="00E56313" w:rsidRPr="00E56313" w14:paraId="43C5344B" w14:textId="77777777" w:rsidTr="00F63480">
        <w:trPr>
          <w:cantSplit/>
        </w:trPr>
        <w:tc>
          <w:tcPr>
            <w:tcW w:w="733" w:type="dxa"/>
            <w:vMerge w:val="restart"/>
            <w:tcBorders>
              <w:top w:val="single" w:sz="12" w:space="0" w:color="auto"/>
              <w:left w:val="nil"/>
              <w:bottom w:val="nil"/>
              <w:right w:val="nil"/>
            </w:tcBorders>
            <w:shd w:val="clear" w:color="auto" w:fill="FFFFFF"/>
          </w:tcPr>
          <w:p w14:paraId="449354B7"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1267" w:type="dxa"/>
            <w:tcBorders>
              <w:top w:val="single" w:sz="12" w:space="0" w:color="auto"/>
              <w:left w:val="nil"/>
              <w:bottom w:val="nil"/>
              <w:right w:val="nil"/>
            </w:tcBorders>
            <w:shd w:val="clear" w:color="auto" w:fill="FFFFFF"/>
          </w:tcPr>
          <w:p w14:paraId="6325CF30" w14:textId="77777777" w:rsidR="00E56313" w:rsidRPr="00E56313" w:rsidRDefault="00E56313" w:rsidP="00E56313">
            <w:pPr>
              <w:rPr>
                <w:rFonts w:cs="Times New Roman"/>
                <w:bCs/>
                <w:sz w:val="22"/>
                <w:szCs w:val="22"/>
              </w:rPr>
            </w:pPr>
            <w:r w:rsidRPr="00E56313">
              <w:rPr>
                <w:rFonts w:cs="Times New Roman"/>
                <w:bCs/>
                <w:sz w:val="22"/>
                <w:szCs w:val="22"/>
              </w:rPr>
              <w:t>Regression</w:t>
            </w:r>
          </w:p>
        </w:tc>
        <w:tc>
          <w:tcPr>
            <w:tcW w:w="1710" w:type="dxa"/>
            <w:tcBorders>
              <w:top w:val="single" w:sz="12" w:space="0" w:color="auto"/>
              <w:left w:val="nil"/>
              <w:bottom w:val="nil"/>
              <w:right w:val="nil"/>
            </w:tcBorders>
            <w:shd w:val="clear" w:color="auto" w:fill="FFFFFF"/>
            <w:vAlign w:val="center"/>
          </w:tcPr>
          <w:p w14:paraId="3C8A550E" w14:textId="77777777" w:rsidR="00E56313" w:rsidRPr="00E56313" w:rsidRDefault="00E56313" w:rsidP="00E56313">
            <w:pPr>
              <w:rPr>
                <w:rFonts w:cs="Times New Roman"/>
                <w:bCs/>
                <w:sz w:val="22"/>
                <w:szCs w:val="22"/>
              </w:rPr>
            </w:pPr>
            <w:r w:rsidRPr="00E56313">
              <w:rPr>
                <w:rFonts w:cs="Times New Roman"/>
                <w:bCs/>
                <w:sz w:val="22"/>
                <w:szCs w:val="22"/>
              </w:rPr>
              <w:t>72.855</w:t>
            </w:r>
          </w:p>
        </w:tc>
        <w:tc>
          <w:tcPr>
            <w:tcW w:w="1080" w:type="dxa"/>
            <w:tcBorders>
              <w:top w:val="single" w:sz="12" w:space="0" w:color="auto"/>
              <w:left w:val="nil"/>
              <w:bottom w:val="nil"/>
              <w:right w:val="nil"/>
            </w:tcBorders>
            <w:shd w:val="clear" w:color="auto" w:fill="FFFFFF"/>
            <w:vAlign w:val="center"/>
          </w:tcPr>
          <w:p w14:paraId="21EDD427" w14:textId="77777777" w:rsidR="00E56313" w:rsidRPr="00E56313" w:rsidRDefault="00E56313" w:rsidP="00E56313">
            <w:pPr>
              <w:rPr>
                <w:rFonts w:cs="Times New Roman"/>
                <w:bCs/>
                <w:sz w:val="22"/>
                <w:szCs w:val="22"/>
              </w:rPr>
            </w:pPr>
            <w:r w:rsidRPr="00E56313">
              <w:rPr>
                <w:rFonts w:cs="Times New Roman"/>
                <w:bCs/>
                <w:sz w:val="22"/>
                <w:szCs w:val="22"/>
              </w:rPr>
              <w:t>3</w:t>
            </w:r>
          </w:p>
        </w:tc>
        <w:tc>
          <w:tcPr>
            <w:tcW w:w="1350" w:type="dxa"/>
            <w:tcBorders>
              <w:top w:val="single" w:sz="12" w:space="0" w:color="auto"/>
              <w:left w:val="nil"/>
              <w:bottom w:val="nil"/>
              <w:right w:val="nil"/>
            </w:tcBorders>
            <w:shd w:val="clear" w:color="auto" w:fill="FFFFFF"/>
            <w:vAlign w:val="center"/>
          </w:tcPr>
          <w:p w14:paraId="3BF09C62" w14:textId="77777777" w:rsidR="00E56313" w:rsidRPr="00E56313" w:rsidRDefault="00E56313" w:rsidP="00E56313">
            <w:pPr>
              <w:rPr>
                <w:rFonts w:cs="Times New Roman"/>
                <w:bCs/>
                <w:sz w:val="22"/>
                <w:szCs w:val="22"/>
              </w:rPr>
            </w:pPr>
            <w:r w:rsidRPr="00E56313">
              <w:rPr>
                <w:rFonts w:cs="Times New Roman"/>
                <w:bCs/>
                <w:sz w:val="22"/>
                <w:szCs w:val="22"/>
              </w:rPr>
              <w:t>24.285</w:t>
            </w:r>
          </w:p>
        </w:tc>
        <w:tc>
          <w:tcPr>
            <w:tcW w:w="990" w:type="dxa"/>
            <w:tcBorders>
              <w:top w:val="single" w:sz="12" w:space="0" w:color="auto"/>
              <w:left w:val="nil"/>
              <w:bottom w:val="nil"/>
              <w:right w:val="nil"/>
            </w:tcBorders>
            <w:shd w:val="clear" w:color="auto" w:fill="FFFFFF"/>
            <w:vAlign w:val="center"/>
          </w:tcPr>
          <w:p w14:paraId="18AC28A1" w14:textId="77777777" w:rsidR="00E56313" w:rsidRPr="00E56313" w:rsidRDefault="00E56313" w:rsidP="00E56313">
            <w:pPr>
              <w:rPr>
                <w:rFonts w:cs="Times New Roman"/>
                <w:bCs/>
                <w:sz w:val="22"/>
                <w:szCs w:val="22"/>
              </w:rPr>
            </w:pPr>
            <w:r w:rsidRPr="00E56313">
              <w:rPr>
                <w:rFonts w:cs="Times New Roman"/>
                <w:bCs/>
                <w:sz w:val="22"/>
                <w:szCs w:val="22"/>
              </w:rPr>
              <w:t>58.749</w:t>
            </w:r>
          </w:p>
        </w:tc>
        <w:tc>
          <w:tcPr>
            <w:tcW w:w="1080" w:type="dxa"/>
            <w:tcBorders>
              <w:top w:val="single" w:sz="12" w:space="0" w:color="auto"/>
              <w:left w:val="nil"/>
              <w:bottom w:val="nil"/>
              <w:right w:val="nil"/>
            </w:tcBorders>
            <w:shd w:val="clear" w:color="auto" w:fill="FFFFFF"/>
            <w:vAlign w:val="center"/>
          </w:tcPr>
          <w:p w14:paraId="1F9F77D7" w14:textId="77777777" w:rsidR="00E56313" w:rsidRPr="00E56313" w:rsidRDefault="00E56313" w:rsidP="00E56313">
            <w:pPr>
              <w:rPr>
                <w:rFonts w:cs="Times New Roman"/>
                <w:bCs/>
                <w:sz w:val="22"/>
                <w:szCs w:val="22"/>
              </w:rPr>
            </w:pPr>
            <w:r w:rsidRPr="00E56313">
              <w:rPr>
                <w:rFonts w:cs="Times New Roman"/>
                <w:bCs/>
                <w:sz w:val="22"/>
                <w:szCs w:val="22"/>
              </w:rPr>
              <w:t>.000</w:t>
            </w:r>
            <w:r w:rsidRPr="00E56313">
              <w:rPr>
                <w:rFonts w:cs="Times New Roman"/>
                <w:bCs/>
                <w:sz w:val="22"/>
                <w:szCs w:val="22"/>
                <w:vertAlign w:val="superscript"/>
              </w:rPr>
              <w:t>b</w:t>
            </w:r>
          </w:p>
        </w:tc>
      </w:tr>
      <w:tr w:rsidR="00E56313" w:rsidRPr="00E56313" w14:paraId="44CB0522" w14:textId="77777777" w:rsidTr="00F63480">
        <w:trPr>
          <w:cantSplit/>
        </w:trPr>
        <w:tc>
          <w:tcPr>
            <w:tcW w:w="733" w:type="dxa"/>
            <w:vMerge/>
            <w:tcBorders>
              <w:top w:val="nil"/>
              <w:left w:val="nil"/>
              <w:bottom w:val="nil"/>
              <w:right w:val="nil"/>
            </w:tcBorders>
            <w:shd w:val="clear" w:color="auto" w:fill="FFFFFF"/>
          </w:tcPr>
          <w:p w14:paraId="7F73FC21" w14:textId="77777777" w:rsidR="00E56313" w:rsidRPr="00E56313" w:rsidRDefault="00E56313" w:rsidP="00E56313">
            <w:pPr>
              <w:rPr>
                <w:rFonts w:cs="Times New Roman"/>
                <w:bCs/>
                <w:sz w:val="22"/>
                <w:szCs w:val="22"/>
              </w:rPr>
            </w:pPr>
          </w:p>
        </w:tc>
        <w:tc>
          <w:tcPr>
            <w:tcW w:w="1267" w:type="dxa"/>
            <w:tcBorders>
              <w:top w:val="nil"/>
              <w:left w:val="nil"/>
              <w:bottom w:val="nil"/>
              <w:right w:val="nil"/>
            </w:tcBorders>
            <w:shd w:val="clear" w:color="auto" w:fill="FFFFFF"/>
          </w:tcPr>
          <w:p w14:paraId="1F9C8ADB" w14:textId="77777777" w:rsidR="00E56313" w:rsidRPr="00E56313" w:rsidRDefault="00E56313" w:rsidP="00E56313">
            <w:pPr>
              <w:rPr>
                <w:rFonts w:cs="Times New Roman"/>
                <w:bCs/>
                <w:sz w:val="22"/>
                <w:szCs w:val="22"/>
              </w:rPr>
            </w:pPr>
            <w:r w:rsidRPr="00E56313">
              <w:rPr>
                <w:rFonts w:cs="Times New Roman"/>
                <w:bCs/>
                <w:sz w:val="22"/>
                <w:szCs w:val="22"/>
              </w:rPr>
              <w:t>Residual</w:t>
            </w:r>
          </w:p>
        </w:tc>
        <w:tc>
          <w:tcPr>
            <w:tcW w:w="1710" w:type="dxa"/>
            <w:tcBorders>
              <w:top w:val="nil"/>
              <w:left w:val="nil"/>
              <w:bottom w:val="nil"/>
              <w:right w:val="nil"/>
            </w:tcBorders>
            <w:shd w:val="clear" w:color="auto" w:fill="FFFFFF"/>
            <w:vAlign w:val="center"/>
          </w:tcPr>
          <w:p w14:paraId="5387B99E" w14:textId="77777777" w:rsidR="00E56313" w:rsidRPr="00E56313" w:rsidRDefault="00E56313" w:rsidP="00E56313">
            <w:pPr>
              <w:rPr>
                <w:rFonts w:cs="Times New Roman"/>
                <w:bCs/>
                <w:sz w:val="22"/>
                <w:szCs w:val="22"/>
              </w:rPr>
            </w:pPr>
            <w:r w:rsidRPr="00E56313">
              <w:rPr>
                <w:rFonts w:cs="Times New Roman"/>
                <w:bCs/>
                <w:sz w:val="22"/>
                <w:szCs w:val="22"/>
              </w:rPr>
              <w:t>158.733</w:t>
            </w:r>
          </w:p>
        </w:tc>
        <w:tc>
          <w:tcPr>
            <w:tcW w:w="1080" w:type="dxa"/>
            <w:tcBorders>
              <w:top w:val="nil"/>
              <w:left w:val="nil"/>
              <w:bottom w:val="nil"/>
              <w:right w:val="nil"/>
            </w:tcBorders>
            <w:shd w:val="clear" w:color="auto" w:fill="FFFFFF"/>
            <w:vAlign w:val="center"/>
          </w:tcPr>
          <w:p w14:paraId="18E8B5DF" w14:textId="77777777" w:rsidR="00E56313" w:rsidRPr="00E56313" w:rsidRDefault="00E56313" w:rsidP="00E56313">
            <w:pPr>
              <w:rPr>
                <w:rFonts w:cs="Times New Roman"/>
                <w:bCs/>
                <w:sz w:val="22"/>
                <w:szCs w:val="22"/>
              </w:rPr>
            </w:pPr>
            <w:r w:rsidRPr="00E56313">
              <w:rPr>
                <w:rFonts w:cs="Times New Roman"/>
                <w:bCs/>
                <w:sz w:val="22"/>
                <w:szCs w:val="22"/>
              </w:rPr>
              <w:t>384</w:t>
            </w:r>
          </w:p>
        </w:tc>
        <w:tc>
          <w:tcPr>
            <w:tcW w:w="1350" w:type="dxa"/>
            <w:tcBorders>
              <w:top w:val="nil"/>
              <w:left w:val="nil"/>
              <w:bottom w:val="nil"/>
              <w:right w:val="nil"/>
            </w:tcBorders>
            <w:shd w:val="clear" w:color="auto" w:fill="FFFFFF"/>
            <w:vAlign w:val="center"/>
          </w:tcPr>
          <w:p w14:paraId="3295ECD3" w14:textId="77777777" w:rsidR="00E56313" w:rsidRPr="00E56313" w:rsidRDefault="00E56313" w:rsidP="00E56313">
            <w:pPr>
              <w:rPr>
                <w:rFonts w:cs="Times New Roman"/>
                <w:bCs/>
                <w:sz w:val="22"/>
                <w:szCs w:val="22"/>
              </w:rPr>
            </w:pPr>
            <w:r w:rsidRPr="00E56313">
              <w:rPr>
                <w:rFonts w:cs="Times New Roman"/>
                <w:bCs/>
                <w:sz w:val="22"/>
                <w:szCs w:val="22"/>
              </w:rPr>
              <w:t>.413</w:t>
            </w:r>
          </w:p>
        </w:tc>
        <w:tc>
          <w:tcPr>
            <w:tcW w:w="990" w:type="dxa"/>
            <w:tcBorders>
              <w:top w:val="nil"/>
              <w:left w:val="nil"/>
              <w:bottom w:val="nil"/>
              <w:right w:val="nil"/>
            </w:tcBorders>
            <w:shd w:val="clear" w:color="auto" w:fill="FFFFFF"/>
            <w:vAlign w:val="center"/>
          </w:tcPr>
          <w:p w14:paraId="3CAB3910" w14:textId="77777777" w:rsidR="00E56313" w:rsidRPr="00E56313" w:rsidRDefault="00E56313" w:rsidP="00E56313">
            <w:pPr>
              <w:rPr>
                <w:rFonts w:cs="Times New Roman"/>
                <w:bCs/>
                <w:sz w:val="22"/>
                <w:szCs w:val="22"/>
              </w:rPr>
            </w:pPr>
          </w:p>
        </w:tc>
        <w:tc>
          <w:tcPr>
            <w:tcW w:w="1080" w:type="dxa"/>
            <w:tcBorders>
              <w:top w:val="nil"/>
              <w:left w:val="nil"/>
              <w:bottom w:val="nil"/>
              <w:right w:val="nil"/>
            </w:tcBorders>
            <w:shd w:val="clear" w:color="auto" w:fill="FFFFFF"/>
            <w:vAlign w:val="center"/>
          </w:tcPr>
          <w:p w14:paraId="0FB8EF8F" w14:textId="77777777" w:rsidR="00E56313" w:rsidRPr="00E56313" w:rsidRDefault="00E56313" w:rsidP="00E56313">
            <w:pPr>
              <w:rPr>
                <w:rFonts w:cs="Times New Roman"/>
                <w:bCs/>
                <w:sz w:val="22"/>
                <w:szCs w:val="22"/>
              </w:rPr>
            </w:pPr>
          </w:p>
        </w:tc>
      </w:tr>
      <w:tr w:rsidR="00E56313" w:rsidRPr="00E56313" w14:paraId="55BBA1E4" w14:textId="77777777" w:rsidTr="00F63480">
        <w:trPr>
          <w:cantSplit/>
        </w:trPr>
        <w:tc>
          <w:tcPr>
            <w:tcW w:w="733" w:type="dxa"/>
            <w:vMerge/>
            <w:tcBorders>
              <w:top w:val="nil"/>
              <w:left w:val="nil"/>
              <w:bottom w:val="single" w:sz="12" w:space="0" w:color="auto"/>
              <w:right w:val="nil"/>
            </w:tcBorders>
            <w:shd w:val="clear" w:color="auto" w:fill="FFFFFF"/>
          </w:tcPr>
          <w:p w14:paraId="3B90CE6E" w14:textId="77777777" w:rsidR="00E56313" w:rsidRPr="00E56313" w:rsidRDefault="00E56313" w:rsidP="00E56313">
            <w:pPr>
              <w:rPr>
                <w:rFonts w:cs="Times New Roman"/>
                <w:bCs/>
                <w:sz w:val="22"/>
                <w:szCs w:val="22"/>
              </w:rPr>
            </w:pPr>
          </w:p>
        </w:tc>
        <w:tc>
          <w:tcPr>
            <w:tcW w:w="1267" w:type="dxa"/>
            <w:tcBorders>
              <w:top w:val="nil"/>
              <w:left w:val="nil"/>
              <w:bottom w:val="single" w:sz="12" w:space="0" w:color="auto"/>
              <w:right w:val="nil"/>
            </w:tcBorders>
            <w:shd w:val="clear" w:color="auto" w:fill="FFFFFF"/>
          </w:tcPr>
          <w:p w14:paraId="3D4C2D13" w14:textId="77777777" w:rsidR="00E56313" w:rsidRPr="00E56313" w:rsidRDefault="00E56313" w:rsidP="00E56313">
            <w:pPr>
              <w:rPr>
                <w:rFonts w:cs="Times New Roman"/>
                <w:bCs/>
                <w:sz w:val="22"/>
                <w:szCs w:val="22"/>
              </w:rPr>
            </w:pPr>
            <w:r w:rsidRPr="00E56313">
              <w:rPr>
                <w:rFonts w:cs="Times New Roman"/>
                <w:bCs/>
                <w:sz w:val="22"/>
                <w:szCs w:val="22"/>
              </w:rPr>
              <w:t>Total</w:t>
            </w:r>
          </w:p>
        </w:tc>
        <w:tc>
          <w:tcPr>
            <w:tcW w:w="1710" w:type="dxa"/>
            <w:tcBorders>
              <w:top w:val="nil"/>
              <w:left w:val="nil"/>
              <w:bottom w:val="single" w:sz="12" w:space="0" w:color="auto"/>
              <w:right w:val="nil"/>
            </w:tcBorders>
            <w:shd w:val="clear" w:color="auto" w:fill="FFFFFF"/>
            <w:vAlign w:val="center"/>
          </w:tcPr>
          <w:p w14:paraId="2E6A06F3" w14:textId="77777777" w:rsidR="00E56313" w:rsidRPr="00E56313" w:rsidRDefault="00E56313" w:rsidP="00E56313">
            <w:pPr>
              <w:rPr>
                <w:rFonts w:cs="Times New Roman"/>
                <w:bCs/>
                <w:sz w:val="22"/>
                <w:szCs w:val="22"/>
              </w:rPr>
            </w:pPr>
            <w:r w:rsidRPr="00E56313">
              <w:rPr>
                <w:rFonts w:cs="Times New Roman"/>
                <w:bCs/>
                <w:sz w:val="22"/>
                <w:szCs w:val="22"/>
              </w:rPr>
              <w:t>231.588</w:t>
            </w:r>
          </w:p>
        </w:tc>
        <w:tc>
          <w:tcPr>
            <w:tcW w:w="1080" w:type="dxa"/>
            <w:tcBorders>
              <w:top w:val="nil"/>
              <w:left w:val="nil"/>
              <w:bottom w:val="single" w:sz="12" w:space="0" w:color="auto"/>
              <w:right w:val="nil"/>
            </w:tcBorders>
            <w:shd w:val="clear" w:color="auto" w:fill="FFFFFF"/>
            <w:vAlign w:val="center"/>
          </w:tcPr>
          <w:p w14:paraId="349951F9" w14:textId="77777777" w:rsidR="00E56313" w:rsidRPr="00E56313" w:rsidRDefault="00E56313" w:rsidP="00E56313">
            <w:pPr>
              <w:rPr>
                <w:rFonts w:cs="Times New Roman"/>
                <w:bCs/>
                <w:sz w:val="22"/>
                <w:szCs w:val="22"/>
              </w:rPr>
            </w:pPr>
            <w:r w:rsidRPr="00E56313">
              <w:rPr>
                <w:rFonts w:cs="Times New Roman"/>
                <w:bCs/>
                <w:sz w:val="22"/>
                <w:szCs w:val="22"/>
              </w:rPr>
              <w:t>387</w:t>
            </w:r>
          </w:p>
        </w:tc>
        <w:tc>
          <w:tcPr>
            <w:tcW w:w="1350" w:type="dxa"/>
            <w:tcBorders>
              <w:top w:val="nil"/>
              <w:left w:val="nil"/>
              <w:bottom w:val="single" w:sz="12" w:space="0" w:color="auto"/>
              <w:right w:val="nil"/>
            </w:tcBorders>
            <w:shd w:val="clear" w:color="auto" w:fill="FFFFFF"/>
            <w:vAlign w:val="center"/>
          </w:tcPr>
          <w:p w14:paraId="78EA920C" w14:textId="77777777" w:rsidR="00E56313" w:rsidRPr="00E56313" w:rsidRDefault="00E56313" w:rsidP="00E56313">
            <w:pPr>
              <w:rPr>
                <w:rFonts w:cs="Times New Roman"/>
                <w:bCs/>
                <w:sz w:val="22"/>
                <w:szCs w:val="22"/>
              </w:rPr>
            </w:pPr>
          </w:p>
        </w:tc>
        <w:tc>
          <w:tcPr>
            <w:tcW w:w="990" w:type="dxa"/>
            <w:tcBorders>
              <w:top w:val="nil"/>
              <w:left w:val="nil"/>
              <w:bottom w:val="single" w:sz="12" w:space="0" w:color="auto"/>
              <w:right w:val="nil"/>
            </w:tcBorders>
            <w:shd w:val="clear" w:color="auto" w:fill="FFFFFF"/>
            <w:vAlign w:val="center"/>
          </w:tcPr>
          <w:p w14:paraId="59F1D955" w14:textId="77777777" w:rsidR="00E56313" w:rsidRPr="00E56313" w:rsidRDefault="00E56313" w:rsidP="00E56313">
            <w:pPr>
              <w:rPr>
                <w:rFonts w:cs="Times New Roman"/>
                <w:bCs/>
                <w:sz w:val="22"/>
                <w:szCs w:val="22"/>
              </w:rPr>
            </w:pPr>
          </w:p>
        </w:tc>
        <w:tc>
          <w:tcPr>
            <w:tcW w:w="1080" w:type="dxa"/>
            <w:tcBorders>
              <w:top w:val="nil"/>
              <w:left w:val="nil"/>
              <w:bottom w:val="single" w:sz="12" w:space="0" w:color="auto"/>
              <w:right w:val="nil"/>
            </w:tcBorders>
            <w:shd w:val="clear" w:color="auto" w:fill="FFFFFF"/>
            <w:vAlign w:val="center"/>
          </w:tcPr>
          <w:p w14:paraId="2E2B7F33" w14:textId="77777777" w:rsidR="00E56313" w:rsidRPr="00E56313" w:rsidRDefault="00E56313" w:rsidP="00E56313">
            <w:pPr>
              <w:rPr>
                <w:rFonts w:cs="Times New Roman"/>
                <w:bCs/>
                <w:sz w:val="22"/>
                <w:szCs w:val="22"/>
              </w:rPr>
            </w:pPr>
          </w:p>
        </w:tc>
      </w:tr>
      <w:tr w:rsidR="00E56313" w:rsidRPr="00E56313" w14:paraId="6B578AE9" w14:textId="77777777" w:rsidTr="00F63480">
        <w:trPr>
          <w:cantSplit/>
        </w:trPr>
        <w:tc>
          <w:tcPr>
            <w:tcW w:w="8210" w:type="dxa"/>
            <w:gridSpan w:val="7"/>
            <w:tcBorders>
              <w:top w:val="single" w:sz="12" w:space="0" w:color="auto"/>
              <w:left w:val="nil"/>
              <w:bottom w:val="nil"/>
              <w:right w:val="nil"/>
            </w:tcBorders>
            <w:shd w:val="clear" w:color="auto" w:fill="FFFFFF"/>
          </w:tcPr>
          <w:p w14:paraId="1A3E83EB" w14:textId="77777777" w:rsidR="00E56313" w:rsidRPr="00E56313" w:rsidRDefault="00E56313" w:rsidP="00E56313">
            <w:pPr>
              <w:rPr>
                <w:rFonts w:cs="Times New Roman"/>
                <w:bCs/>
                <w:sz w:val="22"/>
                <w:szCs w:val="22"/>
              </w:rPr>
            </w:pPr>
            <w:r w:rsidRPr="00E56313">
              <w:rPr>
                <w:rFonts w:cs="Times New Roman"/>
                <w:bCs/>
                <w:sz w:val="22"/>
                <w:szCs w:val="22"/>
              </w:rPr>
              <w:t>a. Dependent Variable: GIP</w:t>
            </w:r>
          </w:p>
        </w:tc>
      </w:tr>
      <w:tr w:rsidR="00E56313" w:rsidRPr="00E56313" w14:paraId="7595C218" w14:textId="77777777" w:rsidTr="00F63480">
        <w:trPr>
          <w:cantSplit/>
        </w:trPr>
        <w:tc>
          <w:tcPr>
            <w:tcW w:w="8210" w:type="dxa"/>
            <w:gridSpan w:val="7"/>
            <w:tcBorders>
              <w:top w:val="nil"/>
              <w:left w:val="nil"/>
              <w:bottom w:val="nil"/>
              <w:right w:val="nil"/>
            </w:tcBorders>
            <w:shd w:val="clear" w:color="auto" w:fill="FFFFFF"/>
          </w:tcPr>
          <w:p w14:paraId="187903DC" w14:textId="77777777" w:rsidR="00E56313" w:rsidRPr="00E56313" w:rsidRDefault="00E56313" w:rsidP="00E56313">
            <w:pPr>
              <w:rPr>
                <w:rFonts w:cs="Times New Roman"/>
                <w:bCs/>
                <w:sz w:val="22"/>
                <w:szCs w:val="22"/>
              </w:rPr>
            </w:pPr>
            <w:r w:rsidRPr="00E56313">
              <w:rPr>
                <w:rFonts w:cs="Times New Roman"/>
                <w:bCs/>
                <w:sz w:val="22"/>
                <w:szCs w:val="22"/>
              </w:rPr>
              <w:t>b. Predictors: (Constant), WILLP, SUBN, CA</w:t>
            </w:r>
          </w:p>
        </w:tc>
      </w:tr>
    </w:tbl>
    <w:p w14:paraId="0D44153F" w14:textId="77777777" w:rsidR="00E56313" w:rsidRPr="00E56313" w:rsidRDefault="00E56313" w:rsidP="00E56313">
      <w:pPr>
        <w:rPr>
          <w:rFonts w:cs="Times New Roman"/>
          <w:bCs/>
          <w:i/>
          <w:sz w:val="22"/>
          <w:szCs w:val="22"/>
        </w:rPr>
      </w:pPr>
      <w:r w:rsidRPr="00E56313">
        <w:rPr>
          <w:rFonts w:cs="Times New Roman"/>
          <w:bCs/>
          <w:i/>
          <w:sz w:val="22"/>
          <w:szCs w:val="22"/>
        </w:rPr>
        <w:t>Source: SPPS Version 23 Output, 2024.</w:t>
      </w:r>
    </w:p>
    <w:p w14:paraId="07EFD58D" w14:textId="77777777" w:rsidR="00E56313" w:rsidRPr="00E56313" w:rsidRDefault="00E56313" w:rsidP="00E56313">
      <w:pPr>
        <w:rPr>
          <w:rFonts w:cs="Times New Roman"/>
          <w:bCs/>
          <w:sz w:val="22"/>
          <w:szCs w:val="22"/>
        </w:rPr>
      </w:pPr>
      <w:r w:rsidRPr="00E56313">
        <w:rPr>
          <w:rFonts w:cs="Times New Roman"/>
          <w:bCs/>
          <w:sz w:val="22"/>
          <w:szCs w:val="22"/>
        </w:rPr>
        <w:t xml:space="preserve">Table 3 determines whether the model is significant enough to determine the outcome of the study. The elements of the table, which are relevant for interpretation, are: </w:t>
      </w:r>
      <w:r w:rsidRPr="00E56313">
        <w:rPr>
          <w:rFonts w:cs="Times New Roman"/>
          <w:bCs/>
          <w:i/>
          <w:sz w:val="22"/>
          <w:szCs w:val="22"/>
        </w:rPr>
        <w:t>P-Value and F ratio.</w:t>
      </w:r>
      <w:r w:rsidRPr="00E56313">
        <w:rPr>
          <w:rFonts w:cs="Times New Roman"/>
          <w:bCs/>
          <w:sz w:val="22"/>
          <w:szCs w:val="22"/>
        </w:rPr>
        <w:t xml:space="preserve"> Generally, 95% confidence interval or 5% level of the significance level was chosen for a study. Thus, for social and management sciences the p-value should be significant if it is less than or equal to 0.05 (Jain &amp; Chetty, 2019). So, with regard to this study the p-value is significant with .000. Therefore, this means that the result of this study is very significant. </w:t>
      </w:r>
      <w:r w:rsidRPr="00E56313">
        <w:rPr>
          <w:rFonts w:cs="Times New Roman"/>
          <w:bCs/>
          <w:i/>
          <w:sz w:val="22"/>
          <w:szCs w:val="22"/>
        </w:rPr>
        <w:t>F-ratio</w:t>
      </w:r>
      <w:r w:rsidRPr="00E56313">
        <w:rPr>
          <w:rFonts w:cs="Times New Roman"/>
          <w:bCs/>
          <w:sz w:val="22"/>
          <w:szCs w:val="22"/>
        </w:rPr>
        <w:t xml:space="preserve"> shows the model fittings, if f- ratio value is greater than 1, it means the model is strong, robust and efficient (Jain &amp; Chetty, 2019). Based on the above table, the f - ratio value was 58.749 which means the model was efficient, robust and good.</w:t>
      </w:r>
    </w:p>
    <w:p w14:paraId="16E03687" w14:textId="77777777" w:rsidR="00E56313" w:rsidRPr="00E56313" w:rsidRDefault="00E56313" w:rsidP="00E56313">
      <w:pPr>
        <w:rPr>
          <w:rFonts w:cs="Times New Roman"/>
          <w:b/>
          <w:bCs/>
          <w:sz w:val="22"/>
          <w:szCs w:val="22"/>
        </w:rPr>
      </w:pPr>
      <w:r w:rsidRPr="00E56313">
        <w:rPr>
          <w:rFonts w:cs="Times New Roman"/>
          <w:b/>
          <w:bCs/>
          <w:sz w:val="22"/>
          <w:szCs w:val="22"/>
        </w:rPr>
        <w:t xml:space="preserve">Table 4: </w:t>
      </w:r>
    </w:p>
    <w:p w14:paraId="32988447" w14:textId="77777777" w:rsidR="00E56313" w:rsidRPr="00E56313" w:rsidRDefault="00E56313" w:rsidP="00E56313">
      <w:pPr>
        <w:rPr>
          <w:rFonts w:cs="Times New Roman"/>
          <w:b/>
          <w:bCs/>
          <w:i/>
          <w:sz w:val="22"/>
          <w:szCs w:val="22"/>
        </w:rPr>
      </w:pPr>
      <w:r w:rsidRPr="00E56313">
        <w:rPr>
          <w:rFonts w:cs="Times New Roman"/>
          <w:b/>
          <w:bCs/>
          <w:i/>
          <w:sz w:val="22"/>
          <w:szCs w:val="22"/>
        </w:rPr>
        <w:t>Coefficient Table</w:t>
      </w:r>
    </w:p>
    <w:tbl>
      <w:tblPr>
        <w:tblW w:w="81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0"/>
        <w:gridCol w:w="1026"/>
        <w:gridCol w:w="1260"/>
        <w:gridCol w:w="1170"/>
        <w:gridCol w:w="990"/>
        <w:gridCol w:w="1764"/>
      </w:tblGrid>
      <w:tr w:rsidR="00E56313" w:rsidRPr="00E56313" w14:paraId="2913403F" w14:textId="77777777" w:rsidTr="00F63480">
        <w:trPr>
          <w:cantSplit/>
        </w:trPr>
        <w:tc>
          <w:tcPr>
            <w:tcW w:w="1964" w:type="dxa"/>
            <w:gridSpan w:val="2"/>
            <w:vMerge w:val="restart"/>
            <w:tcBorders>
              <w:top w:val="single" w:sz="12" w:space="0" w:color="auto"/>
              <w:left w:val="nil"/>
              <w:bottom w:val="single" w:sz="12" w:space="0" w:color="auto"/>
              <w:right w:val="nil"/>
            </w:tcBorders>
            <w:shd w:val="clear" w:color="auto" w:fill="FFFFFF"/>
            <w:vAlign w:val="bottom"/>
          </w:tcPr>
          <w:p w14:paraId="20176A37" w14:textId="77777777" w:rsidR="00E56313" w:rsidRPr="00E56313" w:rsidRDefault="00E56313" w:rsidP="00E56313">
            <w:pPr>
              <w:rPr>
                <w:rFonts w:cs="Times New Roman"/>
                <w:b/>
                <w:bCs/>
                <w:sz w:val="22"/>
                <w:szCs w:val="22"/>
              </w:rPr>
            </w:pPr>
            <w:r w:rsidRPr="00E56313">
              <w:rPr>
                <w:rFonts w:cs="Times New Roman"/>
                <w:b/>
                <w:bCs/>
                <w:sz w:val="22"/>
                <w:szCs w:val="22"/>
              </w:rPr>
              <w:t>Model</w:t>
            </w:r>
          </w:p>
        </w:tc>
        <w:tc>
          <w:tcPr>
            <w:tcW w:w="2286" w:type="dxa"/>
            <w:gridSpan w:val="2"/>
            <w:tcBorders>
              <w:top w:val="single" w:sz="12" w:space="0" w:color="auto"/>
              <w:left w:val="nil"/>
              <w:bottom w:val="nil"/>
              <w:right w:val="nil"/>
            </w:tcBorders>
            <w:shd w:val="clear" w:color="auto" w:fill="FFFFFF"/>
            <w:vAlign w:val="bottom"/>
          </w:tcPr>
          <w:p w14:paraId="3D529254" w14:textId="77777777" w:rsidR="00E56313" w:rsidRPr="00E56313" w:rsidRDefault="00E56313" w:rsidP="00E56313">
            <w:pPr>
              <w:rPr>
                <w:rFonts w:cs="Times New Roman"/>
                <w:b/>
                <w:bCs/>
                <w:sz w:val="22"/>
                <w:szCs w:val="22"/>
              </w:rPr>
            </w:pPr>
          </w:p>
        </w:tc>
        <w:tc>
          <w:tcPr>
            <w:tcW w:w="1170" w:type="dxa"/>
            <w:tcBorders>
              <w:top w:val="single" w:sz="12" w:space="0" w:color="auto"/>
              <w:left w:val="nil"/>
              <w:bottom w:val="nil"/>
              <w:right w:val="nil"/>
            </w:tcBorders>
            <w:shd w:val="clear" w:color="auto" w:fill="FFFFFF"/>
            <w:vAlign w:val="bottom"/>
          </w:tcPr>
          <w:p w14:paraId="23C46BE5" w14:textId="77777777" w:rsidR="00E56313" w:rsidRPr="00E56313" w:rsidRDefault="00E56313" w:rsidP="00E56313">
            <w:pPr>
              <w:rPr>
                <w:rFonts w:cs="Times New Roman"/>
                <w:b/>
                <w:bCs/>
                <w:sz w:val="22"/>
                <w:szCs w:val="22"/>
              </w:rPr>
            </w:pPr>
          </w:p>
        </w:tc>
        <w:tc>
          <w:tcPr>
            <w:tcW w:w="990" w:type="dxa"/>
            <w:vMerge w:val="restart"/>
            <w:tcBorders>
              <w:top w:val="single" w:sz="12" w:space="0" w:color="auto"/>
              <w:left w:val="nil"/>
              <w:bottom w:val="single" w:sz="12" w:space="0" w:color="auto"/>
              <w:right w:val="nil"/>
            </w:tcBorders>
            <w:shd w:val="clear" w:color="auto" w:fill="FFFFFF"/>
            <w:vAlign w:val="bottom"/>
          </w:tcPr>
          <w:p w14:paraId="416BFFB1" w14:textId="77777777" w:rsidR="00E56313" w:rsidRPr="00E56313" w:rsidRDefault="00E56313" w:rsidP="00E56313">
            <w:pPr>
              <w:rPr>
                <w:rFonts w:cs="Times New Roman"/>
                <w:b/>
                <w:bCs/>
                <w:sz w:val="22"/>
                <w:szCs w:val="22"/>
              </w:rPr>
            </w:pPr>
            <w:r w:rsidRPr="00E56313">
              <w:rPr>
                <w:rFonts w:cs="Times New Roman"/>
                <w:b/>
                <w:bCs/>
                <w:sz w:val="22"/>
                <w:szCs w:val="22"/>
              </w:rPr>
              <w:t>T</w:t>
            </w:r>
          </w:p>
        </w:tc>
        <w:tc>
          <w:tcPr>
            <w:tcW w:w="1764" w:type="dxa"/>
            <w:vMerge w:val="restart"/>
            <w:tcBorders>
              <w:top w:val="single" w:sz="12" w:space="0" w:color="auto"/>
              <w:left w:val="nil"/>
              <w:bottom w:val="single" w:sz="12" w:space="0" w:color="auto"/>
              <w:right w:val="nil"/>
            </w:tcBorders>
            <w:shd w:val="clear" w:color="auto" w:fill="FFFFFF"/>
            <w:vAlign w:val="bottom"/>
          </w:tcPr>
          <w:p w14:paraId="673CF86C" w14:textId="77777777" w:rsidR="00E56313" w:rsidRPr="00E56313" w:rsidRDefault="00E56313" w:rsidP="00E56313">
            <w:pPr>
              <w:rPr>
                <w:rFonts w:cs="Times New Roman"/>
                <w:b/>
                <w:bCs/>
                <w:sz w:val="22"/>
                <w:szCs w:val="22"/>
              </w:rPr>
            </w:pPr>
            <w:r w:rsidRPr="00E56313">
              <w:rPr>
                <w:rFonts w:cs="Times New Roman"/>
                <w:b/>
                <w:bCs/>
                <w:sz w:val="22"/>
                <w:szCs w:val="22"/>
              </w:rPr>
              <w:t>Sig.</w:t>
            </w:r>
          </w:p>
        </w:tc>
      </w:tr>
      <w:tr w:rsidR="00E56313" w:rsidRPr="00E56313" w14:paraId="2DAFC0FA" w14:textId="77777777" w:rsidTr="00F63480">
        <w:trPr>
          <w:cantSplit/>
        </w:trPr>
        <w:tc>
          <w:tcPr>
            <w:tcW w:w="1964" w:type="dxa"/>
            <w:gridSpan w:val="2"/>
            <w:vMerge/>
            <w:tcBorders>
              <w:top w:val="single" w:sz="12" w:space="0" w:color="auto"/>
              <w:left w:val="nil"/>
              <w:bottom w:val="single" w:sz="12" w:space="0" w:color="auto"/>
              <w:right w:val="nil"/>
            </w:tcBorders>
            <w:shd w:val="clear" w:color="auto" w:fill="FFFFFF"/>
            <w:vAlign w:val="bottom"/>
          </w:tcPr>
          <w:p w14:paraId="629471C6" w14:textId="77777777" w:rsidR="00E56313" w:rsidRPr="00E56313" w:rsidRDefault="00E56313" w:rsidP="00E56313">
            <w:pPr>
              <w:rPr>
                <w:rFonts w:cs="Times New Roman"/>
                <w:bCs/>
                <w:sz w:val="22"/>
                <w:szCs w:val="22"/>
              </w:rPr>
            </w:pPr>
          </w:p>
        </w:tc>
        <w:tc>
          <w:tcPr>
            <w:tcW w:w="1026" w:type="dxa"/>
            <w:tcBorders>
              <w:top w:val="nil"/>
              <w:left w:val="nil"/>
              <w:bottom w:val="single" w:sz="12" w:space="0" w:color="auto"/>
              <w:right w:val="nil"/>
            </w:tcBorders>
            <w:shd w:val="clear" w:color="auto" w:fill="FFFFFF"/>
            <w:vAlign w:val="bottom"/>
          </w:tcPr>
          <w:p w14:paraId="73DD9E4E" w14:textId="77777777" w:rsidR="00E56313" w:rsidRPr="00E56313" w:rsidRDefault="00E56313" w:rsidP="00E56313">
            <w:pPr>
              <w:rPr>
                <w:rFonts w:cs="Times New Roman"/>
                <w:b/>
                <w:bCs/>
                <w:sz w:val="22"/>
                <w:szCs w:val="22"/>
              </w:rPr>
            </w:pPr>
            <w:r w:rsidRPr="00E56313">
              <w:rPr>
                <w:rFonts w:cs="Times New Roman"/>
                <w:b/>
                <w:bCs/>
                <w:sz w:val="22"/>
                <w:szCs w:val="22"/>
              </w:rPr>
              <w:t>B</w:t>
            </w:r>
          </w:p>
        </w:tc>
        <w:tc>
          <w:tcPr>
            <w:tcW w:w="1260" w:type="dxa"/>
            <w:tcBorders>
              <w:top w:val="nil"/>
              <w:left w:val="nil"/>
              <w:bottom w:val="single" w:sz="12" w:space="0" w:color="auto"/>
              <w:right w:val="nil"/>
            </w:tcBorders>
            <w:shd w:val="clear" w:color="auto" w:fill="FFFFFF"/>
            <w:vAlign w:val="bottom"/>
          </w:tcPr>
          <w:p w14:paraId="180F0D53" w14:textId="77777777" w:rsidR="00E56313" w:rsidRPr="00E56313" w:rsidRDefault="00E56313" w:rsidP="00E56313">
            <w:pPr>
              <w:rPr>
                <w:rFonts w:cs="Times New Roman"/>
                <w:b/>
                <w:bCs/>
                <w:sz w:val="22"/>
                <w:szCs w:val="22"/>
              </w:rPr>
            </w:pPr>
            <w:r w:rsidRPr="00E56313">
              <w:rPr>
                <w:rFonts w:cs="Times New Roman"/>
                <w:b/>
                <w:bCs/>
                <w:sz w:val="22"/>
                <w:szCs w:val="22"/>
              </w:rPr>
              <w:t>Std. Error</w:t>
            </w:r>
          </w:p>
        </w:tc>
        <w:tc>
          <w:tcPr>
            <w:tcW w:w="1170" w:type="dxa"/>
            <w:tcBorders>
              <w:top w:val="nil"/>
              <w:left w:val="nil"/>
              <w:bottom w:val="single" w:sz="12" w:space="0" w:color="auto"/>
              <w:right w:val="nil"/>
            </w:tcBorders>
            <w:shd w:val="clear" w:color="auto" w:fill="FFFFFF"/>
            <w:vAlign w:val="bottom"/>
          </w:tcPr>
          <w:p w14:paraId="147EEDB7" w14:textId="77777777" w:rsidR="00E56313" w:rsidRPr="00E56313" w:rsidRDefault="00E56313" w:rsidP="00E56313">
            <w:pPr>
              <w:rPr>
                <w:rFonts w:cs="Times New Roman"/>
                <w:b/>
                <w:bCs/>
                <w:sz w:val="22"/>
                <w:szCs w:val="22"/>
              </w:rPr>
            </w:pPr>
            <w:r w:rsidRPr="00E56313">
              <w:rPr>
                <w:rFonts w:cs="Times New Roman"/>
                <w:b/>
                <w:bCs/>
                <w:sz w:val="22"/>
                <w:szCs w:val="22"/>
              </w:rPr>
              <w:t>Beta</w:t>
            </w:r>
          </w:p>
        </w:tc>
        <w:tc>
          <w:tcPr>
            <w:tcW w:w="990" w:type="dxa"/>
            <w:vMerge/>
            <w:tcBorders>
              <w:top w:val="nil"/>
              <w:left w:val="nil"/>
              <w:bottom w:val="single" w:sz="12" w:space="0" w:color="auto"/>
              <w:right w:val="nil"/>
            </w:tcBorders>
            <w:shd w:val="clear" w:color="auto" w:fill="FFFFFF"/>
            <w:vAlign w:val="bottom"/>
          </w:tcPr>
          <w:p w14:paraId="647240AC" w14:textId="77777777" w:rsidR="00E56313" w:rsidRPr="00E56313" w:rsidRDefault="00E56313" w:rsidP="00E56313">
            <w:pPr>
              <w:rPr>
                <w:rFonts w:cs="Times New Roman"/>
                <w:b/>
                <w:bCs/>
                <w:sz w:val="22"/>
                <w:szCs w:val="22"/>
              </w:rPr>
            </w:pPr>
          </w:p>
        </w:tc>
        <w:tc>
          <w:tcPr>
            <w:tcW w:w="1764" w:type="dxa"/>
            <w:vMerge/>
            <w:tcBorders>
              <w:top w:val="nil"/>
              <w:left w:val="nil"/>
              <w:bottom w:val="single" w:sz="12" w:space="0" w:color="auto"/>
              <w:right w:val="nil"/>
            </w:tcBorders>
            <w:shd w:val="clear" w:color="auto" w:fill="FFFFFF"/>
            <w:vAlign w:val="bottom"/>
          </w:tcPr>
          <w:p w14:paraId="0E27F35C" w14:textId="77777777" w:rsidR="00E56313" w:rsidRPr="00E56313" w:rsidRDefault="00E56313" w:rsidP="00E56313">
            <w:pPr>
              <w:rPr>
                <w:rFonts w:cs="Times New Roman"/>
                <w:b/>
                <w:bCs/>
                <w:sz w:val="22"/>
                <w:szCs w:val="22"/>
              </w:rPr>
            </w:pPr>
          </w:p>
        </w:tc>
      </w:tr>
      <w:tr w:rsidR="00E56313" w:rsidRPr="00E56313" w14:paraId="35AE05F5" w14:textId="77777777" w:rsidTr="00F63480">
        <w:trPr>
          <w:cantSplit/>
        </w:trPr>
        <w:tc>
          <w:tcPr>
            <w:tcW w:w="754" w:type="dxa"/>
            <w:vMerge w:val="restart"/>
            <w:tcBorders>
              <w:top w:val="single" w:sz="12" w:space="0" w:color="auto"/>
              <w:left w:val="nil"/>
              <w:bottom w:val="single" w:sz="12" w:space="0" w:color="auto"/>
              <w:right w:val="nil"/>
            </w:tcBorders>
            <w:shd w:val="clear" w:color="auto" w:fill="FFFFFF"/>
          </w:tcPr>
          <w:p w14:paraId="4A8B0545" w14:textId="77777777" w:rsidR="00E56313" w:rsidRPr="00E56313" w:rsidRDefault="00E56313" w:rsidP="00E56313">
            <w:pPr>
              <w:rPr>
                <w:rFonts w:cs="Times New Roman"/>
                <w:bCs/>
                <w:sz w:val="22"/>
                <w:szCs w:val="22"/>
              </w:rPr>
            </w:pPr>
            <w:r w:rsidRPr="00E56313">
              <w:rPr>
                <w:rFonts w:cs="Times New Roman"/>
                <w:bCs/>
                <w:sz w:val="22"/>
                <w:szCs w:val="22"/>
              </w:rPr>
              <w:t>1</w:t>
            </w:r>
          </w:p>
        </w:tc>
        <w:tc>
          <w:tcPr>
            <w:tcW w:w="1210" w:type="dxa"/>
            <w:tcBorders>
              <w:top w:val="single" w:sz="12" w:space="0" w:color="auto"/>
              <w:left w:val="nil"/>
              <w:bottom w:val="nil"/>
              <w:right w:val="nil"/>
            </w:tcBorders>
            <w:shd w:val="clear" w:color="auto" w:fill="FFFFFF"/>
          </w:tcPr>
          <w:p w14:paraId="525608B9" w14:textId="77777777" w:rsidR="00E56313" w:rsidRPr="00E56313" w:rsidRDefault="00E56313" w:rsidP="00E56313">
            <w:pPr>
              <w:rPr>
                <w:rFonts w:cs="Times New Roman"/>
                <w:bCs/>
                <w:sz w:val="22"/>
                <w:szCs w:val="22"/>
              </w:rPr>
            </w:pPr>
            <w:r w:rsidRPr="00E56313">
              <w:rPr>
                <w:rFonts w:cs="Times New Roman"/>
                <w:bCs/>
                <w:sz w:val="22"/>
                <w:szCs w:val="22"/>
              </w:rPr>
              <w:t>(Constant)</w:t>
            </w:r>
          </w:p>
        </w:tc>
        <w:tc>
          <w:tcPr>
            <w:tcW w:w="1026" w:type="dxa"/>
            <w:tcBorders>
              <w:top w:val="single" w:sz="12" w:space="0" w:color="auto"/>
              <w:left w:val="nil"/>
              <w:bottom w:val="nil"/>
              <w:right w:val="nil"/>
            </w:tcBorders>
            <w:shd w:val="clear" w:color="auto" w:fill="FFFFFF"/>
            <w:vAlign w:val="center"/>
          </w:tcPr>
          <w:p w14:paraId="4999872F" w14:textId="77777777" w:rsidR="00E56313" w:rsidRPr="00E56313" w:rsidRDefault="00E56313" w:rsidP="00E56313">
            <w:pPr>
              <w:rPr>
                <w:rFonts w:cs="Times New Roman"/>
                <w:bCs/>
                <w:sz w:val="22"/>
                <w:szCs w:val="22"/>
              </w:rPr>
            </w:pPr>
            <w:r w:rsidRPr="00E56313">
              <w:rPr>
                <w:rFonts w:cs="Times New Roman"/>
                <w:bCs/>
                <w:sz w:val="22"/>
                <w:szCs w:val="22"/>
              </w:rPr>
              <w:t>1.318</w:t>
            </w:r>
          </w:p>
        </w:tc>
        <w:tc>
          <w:tcPr>
            <w:tcW w:w="1260" w:type="dxa"/>
            <w:tcBorders>
              <w:top w:val="single" w:sz="12" w:space="0" w:color="auto"/>
              <w:left w:val="nil"/>
              <w:bottom w:val="nil"/>
              <w:right w:val="nil"/>
            </w:tcBorders>
            <w:shd w:val="clear" w:color="auto" w:fill="FFFFFF"/>
            <w:vAlign w:val="center"/>
          </w:tcPr>
          <w:p w14:paraId="21E3F815" w14:textId="77777777" w:rsidR="00E56313" w:rsidRPr="00E56313" w:rsidRDefault="00E56313" w:rsidP="00E56313">
            <w:pPr>
              <w:rPr>
                <w:rFonts w:cs="Times New Roman"/>
                <w:bCs/>
                <w:sz w:val="22"/>
                <w:szCs w:val="22"/>
              </w:rPr>
            </w:pPr>
            <w:r w:rsidRPr="00E56313">
              <w:rPr>
                <w:rFonts w:cs="Times New Roman"/>
                <w:bCs/>
                <w:sz w:val="22"/>
                <w:szCs w:val="22"/>
              </w:rPr>
              <w:t>.197</w:t>
            </w:r>
          </w:p>
        </w:tc>
        <w:tc>
          <w:tcPr>
            <w:tcW w:w="1170" w:type="dxa"/>
            <w:tcBorders>
              <w:top w:val="single" w:sz="12" w:space="0" w:color="auto"/>
              <w:left w:val="nil"/>
              <w:bottom w:val="nil"/>
              <w:right w:val="nil"/>
            </w:tcBorders>
            <w:shd w:val="clear" w:color="auto" w:fill="FFFFFF"/>
            <w:vAlign w:val="center"/>
          </w:tcPr>
          <w:p w14:paraId="41B10795" w14:textId="77777777" w:rsidR="00E56313" w:rsidRPr="00E56313" w:rsidRDefault="00E56313" w:rsidP="00E56313">
            <w:pPr>
              <w:rPr>
                <w:rFonts w:cs="Times New Roman"/>
                <w:bCs/>
                <w:sz w:val="22"/>
                <w:szCs w:val="22"/>
              </w:rPr>
            </w:pPr>
          </w:p>
        </w:tc>
        <w:tc>
          <w:tcPr>
            <w:tcW w:w="990" w:type="dxa"/>
            <w:tcBorders>
              <w:top w:val="single" w:sz="12" w:space="0" w:color="auto"/>
              <w:left w:val="nil"/>
              <w:bottom w:val="nil"/>
              <w:right w:val="nil"/>
            </w:tcBorders>
            <w:shd w:val="clear" w:color="auto" w:fill="FFFFFF"/>
            <w:vAlign w:val="center"/>
          </w:tcPr>
          <w:p w14:paraId="3F7CC3AF" w14:textId="77777777" w:rsidR="00E56313" w:rsidRPr="00E56313" w:rsidRDefault="00E56313" w:rsidP="00E56313">
            <w:pPr>
              <w:rPr>
                <w:rFonts w:cs="Times New Roman"/>
                <w:bCs/>
                <w:sz w:val="22"/>
                <w:szCs w:val="22"/>
              </w:rPr>
            </w:pPr>
            <w:r w:rsidRPr="00E56313">
              <w:rPr>
                <w:rFonts w:cs="Times New Roman"/>
                <w:bCs/>
                <w:sz w:val="22"/>
                <w:szCs w:val="22"/>
              </w:rPr>
              <w:t>6.678</w:t>
            </w:r>
          </w:p>
        </w:tc>
        <w:tc>
          <w:tcPr>
            <w:tcW w:w="1764" w:type="dxa"/>
            <w:tcBorders>
              <w:top w:val="single" w:sz="12" w:space="0" w:color="auto"/>
              <w:left w:val="nil"/>
              <w:bottom w:val="nil"/>
              <w:right w:val="nil"/>
            </w:tcBorders>
            <w:shd w:val="clear" w:color="auto" w:fill="FFFFFF"/>
            <w:vAlign w:val="center"/>
          </w:tcPr>
          <w:p w14:paraId="306BE146"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5C19CE3F" w14:textId="77777777" w:rsidTr="00F63480">
        <w:trPr>
          <w:cantSplit/>
        </w:trPr>
        <w:tc>
          <w:tcPr>
            <w:tcW w:w="754" w:type="dxa"/>
            <w:vMerge/>
            <w:tcBorders>
              <w:top w:val="nil"/>
              <w:left w:val="nil"/>
              <w:bottom w:val="single" w:sz="12" w:space="0" w:color="auto"/>
              <w:right w:val="nil"/>
            </w:tcBorders>
            <w:shd w:val="clear" w:color="auto" w:fill="FFFFFF"/>
          </w:tcPr>
          <w:p w14:paraId="70276570" w14:textId="77777777" w:rsidR="00E56313" w:rsidRPr="00E56313" w:rsidRDefault="00E56313" w:rsidP="00E56313">
            <w:pPr>
              <w:rPr>
                <w:rFonts w:cs="Times New Roman"/>
                <w:bCs/>
                <w:sz w:val="22"/>
                <w:szCs w:val="22"/>
              </w:rPr>
            </w:pPr>
          </w:p>
        </w:tc>
        <w:tc>
          <w:tcPr>
            <w:tcW w:w="1210" w:type="dxa"/>
            <w:tcBorders>
              <w:top w:val="nil"/>
              <w:left w:val="nil"/>
              <w:bottom w:val="nil"/>
              <w:right w:val="nil"/>
            </w:tcBorders>
            <w:shd w:val="clear" w:color="auto" w:fill="FFFFFF"/>
          </w:tcPr>
          <w:p w14:paraId="326B66EF" w14:textId="77777777" w:rsidR="00E56313" w:rsidRPr="00E56313" w:rsidRDefault="00E56313" w:rsidP="00E56313">
            <w:pPr>
              <w:rPr>
                <w:rFonts w:cs="Times New Roman"/>
                <w:bCs/>
                <w:sz w:val="22"/>
                <w:szCs w:val="22"/>
              </w:rPr>
            </w:pPr>
            <w:r w:rsidRPr="00E56313">
              <w:rPr>
                <w:rFonts w:cs="Times New Roman"/>
                <w:bCs/>
                <w:sz w:val="22"/>
                <w:szCs w:val="22"/>
              </w:rPr>
              <w:t>CA</w:t>
            </w:r>
          </w:p>
        </w:tc>
        <w:tc>
          <w:tcPr>
            <w:tcW w:w="1026" w:type="dxa"/>
            <w:tcBorders>
              <w:top w:val="nil"/>
              <w:left w:val="nil"/>
              <w:bottom w:val="nil"/>
              <w:right w:val="nil"/>
            </w:tcBorders>
            <w:shd w:val="clear" w:color="auto" w:fill="FFFFFF"/>
            <w:vAlign w:val="center"/>
          </w:tcPr>
          <w:p w14:paraId="5D58B25E" w14:textId="77777777" w:rsidR="00E56313" w:rsidRPr="00E56313" w:rsidRDefault="00E56313" w:rsidP="00E56313">
            <w:pPr>
              <w:rPr>
                <w:rFonts w:cs="Times New Roman"/>
                <w:bCs/>
                <w:sz w:val="22"/>
                <w:szCs w:val="22"/>
              </w:rPr>
            </w:pPr>
            <w:r w:rsidRPr="00E56313">
              <w:rPr>
                <w:rFonts w:cs="Times New Roman"/>
                <w:bCs/>
                <w:sz w:val="22"/>
                <w:szCs w:val="22"/>
              </w:rPr>
              <w:t>.194</w:t>
            </w:r>
          </w:p>
        </w:tc>
        <w:tc>
          <w:tcPr>
            <w:tcW w:w="1260" w:type="dxa"/>
            <w:tcBorders>
              <w:top w:val="nil"/>
              <w:left w:val="nil"/>
              <w:bottom w:val="nil"/>
              <w:right w:val="nil"/>
            </w:tcBorders>
            <w:shd w:val="clear" w:color="auto" w:fill="FFFFFF"/>
            <w:vAlign w:val="center"/>
          </w:tcPr>
          <w:p w14:paraId="2EBFAE4B" w14:textId="77777777" w:rsidR="00E56313" w:rsidRPr="00E56313" w:rsidRDefault="00E56313" w:rsidP="00E56313">
            <w:pPr>
              <w:rPr>
                <w:rFonts w:cs="Times New Roman"/>
                <w:bCs/>
                <w:sz w:val="22"/>
                <w:szCs w:val="22"/>
              </w:rPr>
            </w:pPr>
            <w:r w:rsidRPr="00E56313">
              <w:rPr>
                <w:rFonts w:cs="Times New Roman"/>
                <w:bCs/>
                <w:sz w:val="22"/>
                <w:szCs w:val="22"/>
              </w:rPr>
              <w:t>.049</w:t>
            </w:r>
          </w:p>
        </w:tc>
        <w:tc>
          <w:tcPr>
            <w:tcW w:w="1170" w:type="dxa"/>
            <w:tcBorders>
              <w:top w:val="nil"/>
              <w:left w:val="nil"/>
              <w:bottom w:val="nil"/>
              <w:right w:val="nil"/>
            </w:tcBorders>
            <w:shd w:val="clear" w:color="auto" w:fill="FFFFFF"/>
            <w:vAlign w:val="center"/>
          </w:tcPr>
          <w:p w14:paraId="0A8E4D8A" w14:textId="77777777" w:rsidR="00E56313" w:rsidRPr="00E56313" w:rsidRDefault="00E56313" w:rsidP="00E56313">
            <w:pPr>
              <w:rPr>
                <w:rFonts w:cs="Times New Roman"/>
                <w:bCs/>
                <w:sz w:val="22"/>
                <w:szCs w:val="22"/>
              </w:rPr>
            </w:pPr>
            <w:r w:rsidRPr="00E56313">
              <w:rPr>
                <w:rFonts w:cs="Times New Roman"/>
                <w:bCs/>
                <w:sz w:val="22"/>
                <w:szCs w:val="22"/>
              </w:rPr>
              <w:t>.196</w:t>
            </w:r>
          </w:p>
        </w:tc>
        <w:tc>
          <w:tcPr>
            <w:tcW w:w="990" w:type="dxa"/>
            <w:tcBorders>
              <w:top w:val="nil"/>
              <w:left w:val="nil"/>
              <w:bottom w:val="nil"/>
              <w:right w:val="nil"/>
            </w:tcBorders>
            <w:shd w:val="clear" w:color="auto" w:fill="FFFFFF"/>
            <w:vAlign w:val="center"/>
          </w:tcPr>
          <w:p w14:paraId="104155E4" w14:textId="77777777" w:rsidR="00E56313" w:rsidRPr="00E56313" w:rsidRDefault="00E56313" w:rsidP="00E56313">
            <w:pPr>
              <w:rPr>
                <w:rFonts w:cs="Times New Roman"/>
                <w:bCs/>
                <w:sz w:val="22"/>
                <w:szCs w:val="22"/>
              </w:rPr>
            </w:pPr>
            <w:r w:rsidRPr="00E56313">
              <w:rPr>
                <w:rFonts w:cs="Times New Roman"/>
                <w:bCs/>
                <w:sz w:val="22"/>
                <w:szCs w:val="22"/>
              </w:rPr>
              <w:t>3.987</w:t>
            </w:r>
          </w:p>
        </w:tc>
        <w:tc>
          <w:tcPr>
            <w:tcW w:w="1764" w:type="dxa"/>
            <w:tcBorders>
              <w:top w:val="nil"/>
              <w:left w:val="nil"/>
              <w:bottom w:val="nil"/>
              <w:right w:val="nil"/>
            </w:tcBorders>
            <w:shd w:val="clear" w:color="auto" w:fill="FFFFFF"/>
            <w:vAlign w:val="center"/>
          </w:tcPr>
          <w:p w14:paraId="3588CC7E" w14:textId="77777777" w:rsidR="00E56313" w:rsidRPr="00E56313" w:rsidRDefault="00E56313" w:rsidP="00E56313">
            <w:pPr>
              <w:rPr>
                <w:rFonts w:cs="Times New Roman"/>
                <w:bCs/>
                <w:sz w:val="22"/>
                <w:szCs w:val="22"/>
              </w:rPr>
            </w:pPr>
            <w:r w:rsidRPr="00E56313">
              <w:rPr>
                <w:rFonts w:cs="Times New Roman"/>
                <w:bCs/>
                <w:sz w:val="22"/>
                <w:szCs w:val="22"/>
              </w:rPr>
              <w:t>.000</w:t>
            </w:r>
          </w:p>
        </w:tc>
      </w:tr>
      <w:tr w:rsidR="00E56313" w:rsidRPr="00E56313" w14:paraId="29B70B54" w14:textId="77777777" w:rsidTr="00F63480">
        <w:trPr>
          <w:cantSplit/>
        </w:trPr>
        <w:tc>
          <w:tcPr>
            <w:tcW w:w="754" w:type="dxa"/>
            <w:vMerge/>
            <w:tcBorders>
              <w:top w:val="nil"/>
              <w:left w:val="nil"/>
              <w:bottom w:val="single" w:sz="12" w:space="0" w:color="auto"/>
              <w:right w:val="nil"/>
            </w:tcBorders>
            <w:shd w:val="clear" w:color="auto" w:fill="FFFFFF"/>
          </w:tcPr>
          <w:p w14:paraId="650A23DF" w14:textId="77777777" w:rsidR="00E56313" w:rsidRPr="00E56313" w:rsidRDefault="00E56313" w:rsidP="00E56313">
            <w:pPr>
              <w:rPr>
                <w:rFonts w:cs="Times New Roman"/>
                <w:bCs/>
                <w:sz w:val="22"/>
                <w:szCs w:val="22"/>
              </w:rPr>
            </w:pPr>
          </w:p>
        </w:tc>
        <w:tc>
          <w:tcPr>
            <w:tcW w:w="1210" w:type="dxa"/>
            <w:tcBorders>
              <w:top w:val="nil"/>
              <w:left w:val="nil"/>
              <w:bottom w:val="nil"/>
              <w:right w:val="nil"/>
            </w:tcBorders>
            <w:shd w:val="clear" w:color="auto" w:fill="FFFFFF"/>
          </w:tcPr>
          <w:p w14:paraId="510F0BCF" w14:textId="77777777" w:rsidR="00E56313" w:rsidRPr="00E56313" w:rsidRDefault="00E56313" w:rsidP="00E56313">
            <w:pPr>
              <w:rPr>
                <w:rFonts w:cs="Times New Roman"/>
                <w:bCs/>
                <w:sz w:val="22"/>
                <w:szCs w:val="22"/>
              </w:rPr>
            </w:pPr>
            <w:r w:rsidRPr="00E56313">
              <w:rPr>
                <w:rFonts w:cs="Times New Roman"/>
                <w:bCs/>
                <w:sz w:val="22"/>
                <w:szCs w:val="22"/>
              </w:rPr>
              <w:t>SUBN</w:t>
            </w:r>
          </w:p>
        </w:tc>
        <w:tc>
          <w:tcPr>
            <w:tcW w:w="1026" w:type="dxa"/>
            <w:tcBorders>
              <w:top w:val="nil"/>
              <w:left w:val="nil"/>
              <w:bottom w:val="nil"/>
              <w:right w:val="nil"/>
            </w:tcBorders>
            <w:shd w:val="clear" w:color="auto" w:fill="FFFFFF"/>
            <w:vAlign w:val="center"/>
          </w:tcPr>
          <w:p w14:paraId="4944F052" w14:textId="77777777" w:rsidR="00E56313" w:rsidRPr="00E56313" w:rsidRDefault="00E56313" w:rsidP="00E56313">
            <w:pPr>
              <w:rPr>
                <w:rFonts w:cs="Times New Roman"/>
                <w:bCs/>
                <w:sz w:val="22"/>
                <w:szCs w:val="22"/>
              </w:rPr>
            </w:pPr>
            <w:r w:rsidRPr="00E56313">
              <w:rPr>
                <w:rFonts w:cs="Times New Roman"/>
                <w:bCs/>
                <w:sz w:val="22"/>
                <w:szCs w:val="22"/>
              </w:rPr>
              <w:t>.106</w:t>
            </w:r>
          </w:p>
        </w:tc>
        <w:tc>
          <w:tcPr>
            <w:tcW w:w="1260" w:type="dxa"/>
            <w:tcBorders>
              <w:top w:val="nil"/>
              <w:left w:val="nil"/>
              <w:bottom w:val="nil"/>
              <w:right w:val="nil"/>
            </w:tcBorders>
            <w:shd w:val="clear" w:color="auto" w:fill="FFFFFF"/>
            <w:vAlign w:val="center"/>
          </w:tcPr>
          <w:p w14:paraId="74C457BF" w14:textId="77777777" w:rsidR="00E56313" w:rsidRPr="00E56313" w:rsidRDefault="00E56313" w:rsidP="00E56313">
            <w:pPr>
              <w:rPr>
                <w:rFonts w:cs="Times New Roman"/>
                <w:bCs/>
                <w:sz w:val="22"/>
                <w:szCs w:val="22"/>
              </w:rPr>
            </w:pPr>
            <w:r w:rsidRPr="00E56313">
              <w:rPr>
                <w:rFonts w:cs="Times New Roman"/>
                <w:bCs/>
                <w:sz w:val="22"/>
                <w:szCs w:val="22"/>
              </w:rPr>
              <w:t>.031</w:t>
            </w:r>
          </w:p>
        </w:tc>
        <w:tc>
          <w:tcPr>
            <w:tcW w:w="1170" w:type="dxa"/>
            <w:tcBorders>
              <w:top w:val="nil"/>
              <w:left w:val="nil"/>
              <w:bottom w:val="nil"/>
              <w:right w:val="nil"/>
            </w:tcBorders>
            <w:shd w:val="clear" w:color="auto" w:fill="FFFFFF"/>
            <w:vAlign w:val="center"/>
          </w:tcPr>
          <w:p w14:paraId="2B67320C" w14:textId="77777777" w:rsidR="00E56313" w:rsidRPr="00E56313" w:rsidRDefault="00E56313" w:rsidP="00E56313">
            <w:pPr>
              <w:rPr>
                <w:rFonts w:cs="Times New Roman"/>
                <w:bCs/>
                <w:sz w:val="22"/>
                <w:szCs w:val="22"/>
              </w:rPr>
            </w:pPr>
            <w:r w:rsidRPr="00E56313">
              <w:rPr>
                <w:rFonts w:cs="Times New Roman"/>
                <w:bCs/>
                <w:sz w:val="22"/>
                <w:szCs w:val="22"/>
              </w:rPr>
              <w:t>.153</w:t>
            </w:r>
          </w:p>
        </w:tc>
        <w:tc>
          <w:tcPr>
            <w:tcW w:w="990" w:type="dxa"/>
            <w:tcBorders>
              <w:top w:val="nil"/>
              <w:left w:val="nil"/>
              <w:bottom w:val="nil"/>
              <w:right w:val="nil"/>
            </w:tcBorders>
            <w:shd w:val="clear" w:color="auto" w:fill="FFFFFF"/>
            <w:vAlign w:val="center"/>
          </w:tcPr>
          <w:p w14:paraId="30F7D359" w14:textId="77777777" w:rsidR="00E56313" w:rsidRPr="00E56313" w:rsidRDefault="00E56313" w:rsidP="00E56313">
            <w:pPr>
              <w:rPr>
                <w:rFonts w:cs="Times New Roman"/>
                <w:bCs/>
                <w:sz w:val="22"/>
                <w:szCs w:val="22"/>
              </w:rPr>
            </w:pPr>
            <w:r w:rsidRPr="00E56313">
              <w:rPr>
                <w:rFonts w:cs="Times New Roman"/>
                <w:bCs/>
                <w:sz w:val="22"/>
                <w:szCs w:val="22"/>
              </w:rPr>
              <w:t>3.421</w:t>
            </w:r>
          </w:p>
        </w:tc>
        <w:tc>
          <w:tcPr>
            <w:tcW w:w="1764" w:type="dxa"/>
            <w:tcBorders>
              <w:top w:val="nil"/>
              <w:left w:val="nil"/>
              <w:bottom w:val="nil"/>
              <w:right w:val="nil"/>
            </w:tcBorders>
            <w:shd w:val="clear" w:color="auto" w:fill="FFFFFF"/>
            <w:vAlign w:val="center"/>
          </w:tcPr>
          <w:p w14:paraId="2E73C0C5" w14:textId="77777777" w:rsidR="00E56313" w:rsidRPr="00E56313" w:rsidRDefault="00E56313" w:rsidP="00E56313">
            <w:pPr>
              <w:rPr>
                <w:rFonts w:cs="Times New Roman"/>
                <w:bCs/>
                <w:sz w:val="22"/>
                <w:szCs w:val="22"/>
              </w:rPr>
            </w:pPr>
            <w:r w:rsidRPr="00E56313">
              <w:rPr>
                <w:rFonts w:cs="Times New Roman"/>
                <w:bCs/>
                <w:sz w:val="22"/>
                <w:szCs w:val="22"/>
              </w:rPr>
              <w:t>.001</w:t>
            </w:r>
          </w:p>
        </w:tc>
      </w:tr>
      <w:tr w:rsidR="00E56313" w:rsidRPr="00E56313" w14:paraId="7702F5EA" w14:textId="77777777" w:rsidTr="00F63480">
        <w:trPr>
          <w:cantSplit/>
        </w:trPr>
        <w:tc>
          <w:tcPr>
            <w:tcW w:w="754" w:type="dxa"/>
            <w:vMerge/>
            <w:tcBorders>
              <w:top w:val="nil"/>
              <w:left w:val="nil"/>
              <w:bottom w:val="single" w:sz="12" w:space="0" w:color="auto"/>
              <w:right w:val="nil"/>
            </w:tcBorders>
            <w:shd w:val="clear" w:color="auto" w:fill="FFFFFF"/>
          </w:tcPr>
          <w:p w14:paraId="6E3A4D1C" w14:textId="77777777" w:rsidR="00E56313" w:rsidRPr="00E56313" w:rsidRDefault="00E56313" w:rsidP="00E56313">
            <w:pPr>
              <w:rPr>
                <w:rFonts w:cs="Times New Roman"/>
                <w:bCs/>
                <w:sz w:val="22"/>
                <w:szCs w:val="22"/>
              </w:rPr>
            </w:pPr>
          </w:p>
        </w:tc>
        <w:tc>
          <w:tcPr>
            <w:tcW w:w="1210" w:type="dxa"/>
            <w:tcBorders>
              <w:top w:val="nil"/>
              <w:left w:val="nil"/>
              <w:bottom w:val="single" w:sz="12" w:space="0" w:color="auto"/>
              <w:right w:val="nil"/>
            </w:tcBorders>
            <w:shd w:val="clear" w:color="auto" w:fill="FFFFFF"/>
          </w:tcPr>
          <w:p w14:paraId="4DAD22D5" w14:textId="77777777" w:rsidR="00E56313" w:rsidRPr="00E56313" w:rsidRDefault="00E56313" w:rsidP="00E56313">
            <w:pPr>
              <w:rPr>
                <w:rFonts w:cs="Times New Roman"/>
                <w:bCs/>
                <w:sz w:val="22"/>
                <w:szCs w:val="22"/>
              </w:rPr>
            </w:pPr>
            <w:r w:rsidRPr="00E56313">
              <w:rPr>
                <w:rFonts w:cs="Times New Roman"/>
                <w:bCs/>
                <w:sz w:val="22"/>
                <w:szCs w:val="22"/>
              </w:rPr>
              <w:t>WILLP</w:t>
            </w:r>
          </w:p>
        </w:tc>
        <w:tc>
          <w:tcPr>
            <w:tcW w:w="1026" w:type="dxa"/>
            <w:tcBorders>
              <w:top w:val="nil"/>
              <w:left w:val="nil"/>
              <w:bottom w:val="single" w:sz="12" w:space="0" w:color="auto"/>
              <w:right w:val="nil"/>
            </w:tcBorders>
            <w:shd w:val="clear" w:color="auto" w:fill="FFFFFF"/>
            <w:vAlign w:val="center"/>
          </w:tcPr>
          <w:p w14:paraId="061E225E" w14:textId="77777777" w:rsidR="00E56313" w:rsidRPr="00E56313" w:rsidRDefault="00E56313" w:rsidP="00E56313">
            <w:pPr>
              <w:rPr>
                <w:rFonts w:cs="Times New Roman"/>
                <w:bCs/>
                <w:sz w:val="22"/>
                <w:szCs w:val="22"/>
              </w:rPr>
            </w:pPr>
            <w:r w:rsidRPr="00E56313">
              <w:rPr>
                <w:rFonts w:cs="Times New Roman"/>
                <w:bCs/>
                <w:sz w:val="22"/>
                <w:szCs w:val="22"/>
              </w:rPr>
              <w:t>.374</w:t>
            </w:r>
          </w:p>
        </w:tc>
        <w:tc>
          <w:tcPr>
            <w:tcW w:w="1260" w:type="dxa"/>
            <w:tcBorders>
              <w:top w:val="nil"/>
              <w:left w:val="nil"/>
              <w:bottom w:val="single" w:sz="12" w:space="0" w:color="auto"/>
              <w:right w:val="nil"/>
            </w:tcBorders>
            <w:shd w:val="clear" w:color="auto" w:fill="FFFFFF"/>
            <w:vAlign w:val="center"/>
          </w:tcPr>
          <w:p w14:paraId="4D193395" w14:textId="77777777" w:rsidR="00E56313" w:rsidRPr="00E56313" w:rsidRDefault="00E56313" w:rsidP="00E56313">
            <w:pPr>
              <w:rPr>
                <w:rFonts w:cs="Times New Roman"/>
                <w:bCs/>
                <w:sz w:val="22"/>
                <w:szCs w:val="22"/>
              </w:rPr>
            </w:pPr>
            <w:r w:rsidRPr="00E56313">
              <w:rPr>
                <w:rFonts w:cs="Times New Roman"/>
                <w:bCs/>
                <w:sz w:val="22"/>
                <w:szCs w:val="22"/>
              </w:rPr>
              <w:t>.046</w:t>
            </w:r>
          </w:p>
        </w:tc>
        <w:tc>
          <w:tcPr>
            <w:tcW w:w="1170" w:type="dxa"/>
            <w:tcBorders>
              <w:top w:val="nil"/>
              <w:left w:val="nil"/>
              <w:bottom w:val="single" w:sz="12" w:space="0" w:color="auto"/>
              <w:right w:val="nil"/>
            </w:tcBorders>
            <w:shd w:val="clear" w:color="auto" w:fill="FFFFFF"/>
            <w:vAlign w:val="center"/>
          </w:tcPr>
          <w:p w14:paraId="5ADCC740" w14:textId="77777777" w:rsidR="00E56313" w:rsidRPr="00E56313" w:rsidRDefault="00E56313" w:rsidP="00E56313">
            <w:pPr>
              <w:rPr>
                <w:rFonts w:cs="Times New Roman"/>
                <w:bCs/>
                <w:sz w:val="22"/>
                <w:szCs w:val="22"/>
              </w:rPr>
            </w:pPr>
            <w:r w:rsidRPr="00E56313">
              <w:rPr>
                <w:rFonts w:cs="Times New Roman"/>
                <w:bCs/>
                <w:sz w:val="22"/>
                <w:szCs w:val="22"/>
              </w:rPr>
              <w:t>.384</w:t>
            </w:r>
          </w:p>
        </w:tc>
        <w:tc>
          <w:tcPr>
            <w:tcW w:w="990" w:type="dxa"/>
            <w:tcBorders>
              <w:top w:val="nil"/>
              <w:left w:val="nil"/>
              <w:bottom w:val="single" w:sz="12" w:space="0" w:color="auto"/>
              <w:right w:val="nil"/>
            </w:tcBorders>
            <w:shd w:val="clear" w:color="auto" w:fill="FFFFFF"/>
            <w:vAlign w:val="center"/>
          </w:tcPr>
          <w:p w14:paraId="62D4C035" w14:textId="77777777" w:rsidR="00E56313" w:rsidRPr="00E56313" w:rsidRDefault="00E56313" w:rsidP="00E56313">
            <w:pPr>
              <w:rPr>
                <w:rFonts w:cs="Times New Roman"/>
                <w:bCs/>
                <w:sz w:val="22"/>
                <w:szCs w:val="22"/>
              </w:rPr>
            </w:pPr>
            <w:r w:rsidRPr="00E56313">
              <w:rPr>
                <w:rFonts w:cs="Times New Roman"/>
                <w:bCs/>
                <w:sz w:val="22"/>
                <w:szCs w:val="22"/>
              </w:rPr>
              <w:t>8.133</w:t>
            </w:r>
          </w:p>
        </w:tc>
        <w:tc>
          <w:tcPr>
            <w:tcW w:w="1764" w:type="dxa"/>
            <w:tcBorders>
              <w:top w:val="nil"/>
              <w:left w:val="nil"/>
              <w:bottom w:val="single" w:sz="12" w:space="0" w:color="auto"/>
              <w:right w:val="nil"/>
            </w:tcBorders>
            <w:shd w:val="clear" w:color="auto" w:fill="FFFFFF"/>
            <w:vAlign w:val="center"/>
          </w:tcPr>
          <w:p w14:paraId="16DEA8EB" w14:textId="77777777" w:rsidR="00E56313" w:rsidRPr="00E56313" w:rsidRDefault="00E56313" w:rsidP="00E56313">
            <w:pPr>
              <w:rPr>
                <w:rFonts w:cs="Times New Roman"/>
                <w:bCs/>
                <w:sz w:val="22"/>
                <w:szCs w:val="22"/>
              </w:rPr>
            </w:pPr>
            <w:r w:rsidRPr="00E56313">
              <w:rPr>
                <w:rFonts w:cs="Times New Roman"/>
                <w:bCs/>
                <w:sz w:val="22"/>
                <w:szCs w:val="22"/>
              </w:rPr>
              <w:t>.000</w:t>
            </w:r>
          </w:p>
        </w:tc>
      </w:tr>
    </w:tbl>
    <w:p w14:paraId="47A11B34" w14:textId="77777777" w:rsidR="00E56313" w:rsidRPr="00E56313" w:rsidRDefault="00E56313" w:rsidP="00E56313">
      <w:pPr>
        <w:rPr>
          <w:rFonts w:cs="Times New Roman"/>
          <w:b/>
          <w:bCs/>
          <w:sz w:val="22"/>
          <w:szCs w:val="22"/>
        </w:rPr>
      </w:pPr>
      <w:r w:rsidRPr="00E56313">
        <w:rPr>
          <w:rFonts w:cs="Times New Roman"/>
          <w:b/>
          <w:bCs/>
          <w:sz w:val="22"/>
          <w:szCs w:val="22"/>
        </w:rPr>
        <w:t>Source: SPPS Version 23 Output, 2024.</w:t>
      </w:r>
    </w:p>
    <w:p w14:paraId="0A9D63D9" w14:textId="77777777" w:rsidR="00E56313" w:rsidRPr="00E56313" w:rsidRDefault="00E56313" w:rsidP="00E56313">
      <w:pPr>
        <w:rPr>
          <w:rFonts w:cs="Times New Roman"/>
          <w:bCs/>
          <w:sz w:val="22"/>
          <w:szCs w:val="22"/>
        </w:rPr>
      </w:pPr>
      <w:r w:rsidRPr="00E56313">
        <w:rPr>
          <w:rFonts w:cs="Times New Roman"/>
          <w:bCs/>
          <w:sz w:val="22"/>
          <w:szCs w:val="22"/>
        </w:rPr>
        <w:lastRenderedPageBreak/>
        <w:t xml:space="preserve">Table 4 shows the significance of the variables and the magnitude with which they influence the dependent variable. This helps in testing the study’s hypotheses. The study result demonstrated that all three (3) independent variables (attitude, subjective norm, and willingness to pay) were significantly and positively related with the green purchasing intentions of selected tertiary institution students in Gombe State, Nigeria. Reject a p-value (sig.) less than or equal to 0.05 and accept it if greater than 0.05 (&gt; 0.05) (Jain &amp; Chetty, 2019). Attitude, subjective norm, and willingness to pay have a p-value of.000,.001, and.000, respectively, at the 5% level of significance. This means that all the p-values do not support the null hypotheses because they do not exceed the 5% threshold (Torres-Reyna, 2007). Therefore, the study rejected all the null hypotheses. Furthermore, the highest correlation between the intention to make green purchases and willingness to pay was found (standardized beta coefficient value =.384). The unstandardized beta (B) value, which shows the slope of the line connecting the dependent variable of green purchase intention and the predictor of willingness to pay, was.374. This suggests that a consumer's intention to make green purchases will grow by 0.374 units for every unit increase in willingness to pay. With a standardized beta coefficient of 0.196, consumer attitude exhibited the second-strongest correlation with green purchasing intention. </w:t>
      </w:r>
    </w:p>
    <w:p w14:paraId="530C3A06" w14:textId="77777777" w:rsidR="00E56313" w:rsidRPr="00E56313" w:rsidRDefault="00E56313" w:rsidP="00E56313">
      <w:pPr>
        <w:rPr>
          <w:rFonts w:cs="Times New Roman"/>
          <w:bCs/>
          <w:sz w:val="22"/>
          <w:szCs w:val="22"/>
        </w:rPr>
      </w:pPr>
      <w:r w:rsidRPr="00E56313">
        <w:rPr>
          <w:rFonts w:cs="Times New Roman"/>
          <w:bCs/>
          <w:sz w:val="22"/>
          <w:szCs w:val="22"/>
        </w:rPr>
        <w:t>Because of its unstandardized beta of 0.194, the likelihood of making a green purchase will increase by 0.194 units for every unit increase in consumer attitude. The subjective norm showed the smallest correlation with the intention to make green purchases, with a standardized beta value of.153. Its unstandardized beta (B) of.106 indicates that for every unit increase in the consumer's subjective norm, there will be a corresponding.106 increase in the intention to make green purchases.</w:t>
      </w:r>
    </w:p>
    <w:p w14:paraId="171AC8E1" w14:textId="77777777" w:rsidR="00E56313" w:rsidRPr="00E56313" w:rsidRDefault="00E56313" w:rsidP="00E56313">
      <w:pPr>
        <w:rPr>
          <w:rFonts w:cs="Times New Roman"/>
          <w:b/>
          <w:bCs/>
          <w:sz w:val="22"/>
          <w:szCs w:val="22"/>
        </w:rPr>
      </w:pPr>
      <w:bookmarkStart w:id="3" w:name="_Toc169862129"/>
      <w:bookmarkStart w:id="4" w:name="_Toc170910410"/>
      <w:bookmarkStart w:id="5" w:name="_Toc170910662"/>
      <w:r w:rsidRPr="00E56313">
        <w:rPr>
          <w:rFonts w:cs="Times New Roman"/>
          <w:b/>
          <w:bCs/>
          <w:sz w:val="22"/>
          <w:szCs w:val="22"/>
        </w:rPr>
        <w:t>3.2.3. Discussion of Findings</w:t>
      </w:r>
      <w:bookmarkEnd w:id="3"/>
      <w:bookmarkEnd w:id="4"/>
      <w:bookmarkEnd w:id="5"/>
    </w:p>
    <w:p w14:paraId="79992B43" w14:textId="77777777" w:rsidR="00E56313" w:rsidRPr="00E56313" w:rsidRDefault="00E56313" w:rsidP="00E56313">
      <w:pPr>
        <w:rPr>
          <w:rFonts w:cs="Times New Roman"/>
          <w:bCs/>
          <w:sz w:val="22"/>
          <w:szCs w:val="22"/>
        </w:rPr>
      </w:pPr>
      <w:r w:rsidRPr="00E56313">
        <w:rPr>
          <w:rFonts w:cs="Times New Roman"/>
          <w:bCs/>
          <w:sz w:val="22"/>
          <w:szCs w:val="22"/>
        </w:rPr>
        <w:t xml:space="preserve"> This study investigated the factors influencing the green product purchase intention among the selected tertiary institution students in Gombe. The study analyzed the effect of each of the independent variables (attitude, subjective norm, and willingness to pay) on the dependent variable (green purchase intention). Attitude for green purchase intention was significant and positive at a p-value of.000 (&lt;0.05); this finding aligned Felix and Braunsberger (2016), Paul et al. (2016), Varshneya et al. (2017), Yadav and Pathak (2017), Lai et al. (2016), and Yadav and Pathak (2016), who reported that consumer attitudes have a significant effect on green purchase intentions.  Similarly, the subjective norm for green intention was significant and positive at a p-value of.001 (&lt;0.05). This finding agreed with Jung et al. (2021), Iqbal et al. (2023), Taylor and Cosenza (2002), Gotschi et al. (2007), and Alalei and Jan (2023), which reported that subjective norms influence green purchase intentions.  The study found that willingness to pay was significant and positive at a p-value of 0.000 (&lt;0.05). This finding aligned Grankvist and Biel (2001), Olson (2013), Chaudhary (2018), Chaudhary and Bisai (2018), Prakash and Pathak (2017), and Chowdhury and Alamgir (2021), who reported that consumers’ willingness to pay influences green purchase intentions. However, this study disagreed with Choi and Parsa (2007) and Jauhari and Manaktola (2007), who reported that consumers avoided paying higher prices for green products and services.</w:t>
      </w:r>
    </w:p>
    <w:p w14:paraId="041DAD25" w14:textId="77777777" w:rsidR="00E56313" w:rsidRPr="00E56313" w:rsidRDefault="00E56313" w:rsidP="00E56313">
      <w:pPr>
        <w:rPr>
          <w:rFonts w:cs="Times New Roman"/>
          <w:b/>
          <w:bCs/>
          <w:sz w:val="22"/>
          <w:szCs w:val="22"/>
        </w:rPr>
      </w:pPr>
      <w:r w:rsidRPr="00E56313">
        <w:rPr>
          <w:rFonts w:cs="Times New Roman"/>
          <w:b/>
          <w:bCs/>
          <w:sz w:val="22"/>
          <w:szCs w:val="22"/>
        </w:rPr>
        <w:t>4.0. Conclusion</w:t>
      </w:r>
    </w:p>
    <w:p w14:paraId="0188050A" w14:textId="77777777" w:rsidR="00E56313" w:rsidRPr="00E56313" w:rsidRDefault="00E56313" w:rsidP="00E56313">
      <w:pPr>
        <w:rPr>
          <w:rFonts w:cs="Times New Roman"/>
          <w:bCs/>
          <w:sz w:val="22"/>
          <w:szCs w:val="22"/>
        </w:rPr>
      </w:pPr>
      <w:r w:rsidRPr="00E56313">
        <w:rPr>
          <w:rFonts w:cs="Times New Roman"/>
          <w:bCs/>
          <w:sz w:val="22"/>
          <w:szCs w:val="22"/>
        </w:rPr>
        <w:lastRenderedPageBreak/>
        <w:t xml:space="preserve">This study investigated the factors influencing the green product purchase intention among the selected tertiary institution students in Gombe State. This study concluded that attitude, subjective norm, and willingness to pay positively and significantly influence the green purchase intention of selected tertiary institution students in Gombe State, Nigeria. The study therefore recommends as follows:  </w:t>
      </w:r>
    </w:p>
    <w:p w14:paraId="5A3604A2" w14:textId="77777777" w:rsidR="00E56313" w:rsidRPr="00E56313" w:rsidRDefault="00E56313" w:rsidP="00E56313">
      <w:pPr>
        <w:numPr>
          <w:ilvl w:val="0"/>
          <w:numId w:val="24"/>
        </w:numPr>
        <w:rPr>
          <w:rFonts w:cs="Times New Roman"/>
          <w:bCs/>
          <w:iCs/>
          <w:sz w:val="22"/>
          <w:szCs w:val="22"/>
        </w:rPr>
      </w:pPr>
      <w:r w:rsidRPr="00E56313">
        <w:rPr>
          <w:rFonts w:cs="Times New Roman"/>
          <w:bCs/>
          <w:sz w:val="22"/>
          <w:szCs w:val="22"/>
        </w:rPr>
        <w:t>Managers and other stakeholders in the green products business should focus on the influence of consumers’ attitudes, as it has implications for green purchasing intentions.</w:t>
      </w:r>
    </w:p>
    <w:p w14:paraId="655C96F0" w14:textId="77777777" w:rsidR="00E56313" w:rsidRPr="00E56313" w:rsidRDefault="00E56313" w:rsidP="00E56313">
      <w:pPr>
        <w:numPr>
          <w:ilvl w:val="0"/>
          <w:numId w:val="24"/>
        </w:numPr>
        <w:rPr>
          <w:rFonts w:cs="Times New Roman"/>
          <w:bCs/>
          <w:iCs/>
          <w:sz w:val="22"/>
          <w:szCs w:val="22"/>
        </w:rPr>
      </w:pPr>
      <w:r w:rsidRPr="00E56313">
        <w:rPr>
          <w:rFonts w:cs="Times New Roman"/>
          <w:bCs/>
          <w:sz w:val="22"/>
          <w:szCs w:val="22"/>
        </w:rPr>
        <w:t xml:space="preserve">Marketing managers and other leaders in the green business sector should critically educate consumers and the general public about the reasons behind the higher cost of green products compared to conventional ones. They should also educate the consumers on why they must continue to patronize them. This is because the willingness to pay factor has the strongest correlation with consumers' purchase intentions. </w:t>
      </w:r>
    </w:p>
    <w:p w14:paraId="2C17638F" w14:textId="77777777" w:rsidR="00E56313" w:rsidRPr="00E56313" w:rsidRDefault="00E56313" w:rsidP="00E56313">
      <w:pPr>
        <w:numPr>
          <w:ilvl w:val="0"/>
          <w:numId w:val="24"/>
        </w:numPr>
        <w:rPr>
          <w:rFonts w:cs="Times New Roman"/>
          <w:bCs/>
          <w:iCs/>
          <w:sz w:val="22"/>
          <w:szCs w:val="22"/>
        </w:rPr>
      </w:pPr>
      <w:r w:rsidRPr="00E56313">
        <w:rPr>
          <w:rFonts w:cs="Times New Roman"/>
          <w:bCs/>
          <w:sz w:val="22"/>
          <w:szCs w:val="22"/>
        </w:rPr>
        <w:t xml:space="preserve">The subjective norm had a slight correlation with green purchase intention; therefore, stakeholders in the green products industry must pay close attention to the impact of social associations such as family, clubs, religion, and other social environmental elements, as they all influence green purchase intentions. </w:t>
      </w:r>
    </w:p>
    <w:p w14:paraId="18532DC8" w14:textId="77777777" w:rsidR="00E56313" w:rsidRPr="00E56313" w:rsidRDefault="00E56313" w:rsidP="00E56313">
      <w:pPr>
        <w:rPr>
          <w:rFonts w:cs="Times New Roman"/>
          <w:b/>
          <w:bCs/>
          <w:iCs/>
          <w:sz w:val="22"/>
          <w:szCs w:val="22"/>
        </w:rPr>
      </w:pPr>
      <w:r w:rsidRPr="00E56313">
        <w:rPr>
          <w:rFonts w:cs="Times New Roman"/>
          <w:b/>
          <w:bCs/>
          <w:iCs/>
          <w:sz w:val="22"/>
          <w:szCs w:val="22"/>
        </w:rPr>
        <w:t>4.1 Limitations of the Study</w:t>
      </w:r>
    </w:p>
    <w:p w14:paraId="4A101A69" w14:textId="77777777" w:rsidR="00E56313" w:rsidRPr="00E56313" w:rsidRDefault="00E56313" w:rsidP="00E56313">
      <w:pPr>
        <w:rPr>
          <w:rFonts w:cs="Times New Roman"/>
          <w:bCs/>
          <w:iCs/>
          <w:sz w:val="22"/>
          <w:szCs w:val="22"/>
        </w:rPr>
      </w:pPr>
      <w:r w:rsidRPr="00E56313">
        <w:rPr>
          <w:rFonts w:cs="Times New Roman"/>
          <w:bCs/>
          <w:iCs/>
          <w:sz w:val="22"/>
          <w:szCs w:val="22"/>
        </w:rPr>
        <w:t xml:space="preserve">The findings from this analysis may have constraints because of to the unavoidable prejudice associated with data provided by individuals. The study population was limited because it focused on students of a selected tertiary institution who are green consumers or have expressed demands for green products; hence, the results may differ if the study population is changed. Nigeria has 36 states and the Federal Capital Territory, Abuja, with diverse cultural values, tribes, and ethnicities. As a result, any future studies should increase the sample size by include different populations in order to generate a mutual behavioral intention applicable to all Nigerian consumers. The quantitative method utilized in this study may limit some of its conclusions because it was a predefined study with respondents restricted to established Likert-Scale questions. Future studies can consider using the qualitative method or a mixture of both to investigate similar topics. </w:t>
      </w:r>
    </w:p>
    <w:p w14:paraId="66D2164B" w14:textId="77777777" w:rsidR="00E56313" w:rsidRPr="00E56313" w:rsidRDefault="00E56313" w:rsidP="00E56313">
      <w:pPr>
        <w:rPr>
          <w:rFonts w:cs="Times New Roman"/>
          <w:b/>
          <w:bCs/>
          <w:sz w:val="22"/>
          <w:szCs w:val="22"/>
        </w:rPr>
      </w:pPr>
      <w:r w:rsidRPr="00E56313">
        <w:rPr>
          <w:rFonts w:cs="Times New Roman"/>
          <w:b/>
          <w:bCs/>
          <w:sz w:val="22"/>
          <w:szCs w:val="22"/>
        </w:rPr>
        <w:t>References</w:t>
      </w:r>
    </w:p>
    <w:p w14:paraId="24AE2785" w14:textId="77777777" w:rsidR="00E56313" w:rsidRPr="00E56313" w:rsidRDefault="00E56313" w:rsidP="00E56313">
      <w:pPr>
        <w:rPr>
          <w:rFonts w:cs="Times New Roman"/>
          <w:bCs/>
          <w:sz w:val="22"/>
          <w:szCs w:val="22"/>
        </w:rPr>
      </w:pPr>
      <w:r w:rsidRPr="00E56313">
        <w:rPr>
          <w:rFonts w:cs="Times New Roman"/>
          <w:bCs/>
          <w:sz w:val="22"/>
          <w:szCs w:val="22"/>
        </w:rPr>
        <w:t xml:space="preserve">Adella, P., &amp; Nurjanah, L. (2022). The effect of green purchase intentions on intention to buy environmentally friendly straws in Batam City, </w:t>
      </w:r>
      <w:r w:rsidRPr="00E56313">
        <w:rPr>
          <w:rFonts w:cs="Times New Roman"/>
          <w:bCs/>
          <w:i/>
          <w:sz w:val="22"/>
          <w:szCs w:val="22"/>
        </w:rPr>
        <w:t>eCo-Buss</w:t>
      </w:r>
      <w:r w:rsidRPr="00E56313">
        <w:rPr>
          <w:rFonts w:cs="Times New Roman"/>
          <w:bCs/>
          <w:sz w:val="22"/>
          <w:szCs w:val="22"/>
        </w:rPr>
        <w:t xml:space="preserve"> 5(1), 159-174.</w:t>
      </w:r>
    </w:p>
    <w:p w14:paraId="482EDEDA" w14:textId="77777777" w:rsidR="00E56313" w:rsidRPr="00E56313" w:rsidRDefault="00E56313" w:rsidP="00E56313">
      <w:pPr>
        <w:rPr>
          <w:rFonts w:cs="Times New Roman"/>
          <w:bCs/>
          <w:sz w:val="22"/>
          <w:szCs w:val="22"/>
        </w:rPr>
      </w:pPr>
      <w:r w:rsidRPr="00E56313">
        <w:rPr>
          <w:rFonts w:cs="Times New Roman"/>
          <w:bCs/>
          <w:sz w:val="22"/>
          <w:szCs w:val="22"/>
        </w:rPr>
        <w:t xml:space="preserve">Ajzen, I. (1991). The theory of planned behavior. </w:t>
      </w:r>
      <w:r w:rsidRPr="00E56313">
        <w:rPr>
          <w:rFonts w:cs="Times New Roman"/>
          <w:bCs/>
          <w:i/>
          <w:sz w:val="22"/>
          <w:szCs w:val="22"/>
        </w:rPr>
        <w:t>Organizational behavior and human decision processes,</w:t>
      </w:r>
      <w:r w:rsidRPr="00E56313">
        <w:rPr>
          <w:rFonts w:cs="Times New Roman"/>
          <w:bCs/>
          <w:sz w:val="22"/>
          <w:szCs w:val="22"/>
        </w:rPr>
        <w:t xml:space="preserve"> 50(2), 179-211.</w:t>
      </w:r>
    </w:p>
    <w:p w14:paraId="49281A40" w14:textId="77777777" w:rsidR="00E56313" w:rsidRPr="00E56313" w:rsidRDefault="00E56313" w:rsidP="00E56313">
      <w:pPr>
        <w:rPr>
          <w:rFonts w:cs="Times New Roman"/>
          <w:bCs/>
          <w:sz w:val="22"/>
          <w:szCs w:val="22"/>
        </w:rPr>
      </w:pPr>
      <w:r w:rsidRPr="00E56313">
        <w:rPr>
          <w:rFonts w:cs="Times New Roman"/>
          <w:bCs/>
          <w:sz w:val="22"/>
          <w:szCs w:val="22"/>
        </w:rPr>
        <w:t xml:space="preserve">Ajzen, I. (2002). Perceived behavioral control, self-efficacy, locus of control, and the theory of planned behavior. </w:t>
      </w:r>
      <w:r w:rsidRPr="00E56313">
        <w:rPr>
          <w:rFonts w:cs="Times New Roman"/>
          <w:bCs/>
          <w:i/>
          <w:sz w:val="22"/>
          <w:szCs w:val="22"/>
        </w:rPr>
        <w:t>Journal of Applied Social Psychology,</w:t>
      </w:r>
      <w:r w:rsidRPr="00E56313">
        <w:rPr>
          <w:rFonts w:cs="Times New Roman"/>
          <w:bCs/>
          <w:sz w:val="22"/>
          <w:szCs w:val="22"/>
        </w:rPr>
        <w:t xml:space="preserve"> 32(4), 665-683. </w:t>
      </w:r>
    </w:p>
    <w:p w14:paraId="2283E6EA" w14:textId="77777777" w:rsidR="00E56313" w:rsidRPr="00E56313" w:rsidRDefault="00E56313" w:rsidP="00E56313">
      <w:pPr>
        <w:rPr>
          <w:rFonts w:cs="Times New Roman"/>
          <w:bCs/>
          <w:sz w:val="22"/>
          <w:szCs w:val="22"/>
        </w:rPr>
      </w:pPr>
      <w:r w:rsidRPr="00E56313">
        <w:rPr>
          <w:rFonts w:cs="Times New Roman"/>
          <w:bCs/>
          <w:sz w:val="22"/>
          <w:szCs w:val="22"/>
        </w:rPr>
        <w:t xml:space="preserve">Alalei, A. &amp; Jan, M. T. (2023). Factors influencing the green purchase intention among consumers: An empirical study in Algeria. </w:t>
      </w:r>
      <w:r w:rsidRPr="00E56313">
        <w:rPr>
          <w:rFonts w:cs="Times New Roman"/>
          <w:bCs/>
          <w:i/>
          <w:sz w:val="22"/>
          <w:szCs w:val="22"/>
        </w:rPr>
        <w:t>Journal of Global Business Insights,8</w:t>
      </w:r>
      <w:r w:rsidRPr="00E56313">
        <w:rPr>
          <w:rFonts w:cs="Times New Roman"/>
          <w:bCs/>
          <w:sz w:val="22"/>
          <w:szCs w:val="22"/>
        </w:rPr>
        <w:t xml:space="preserve">(1), 49-65. </w:t>
      </w:r>
    </w:p>
    <w:p w14:paraId="393E546F" w14:textId="77777777" w:rsidR="00E56313" w:rsidRPr="00E56313" w:rsidRDefault="00E56313" w:rsidP="00E56313">
      <w:pPr>
        <w:rPr>
          <w:rFonts w:cs="Times New Roman"/>
          <w:bCs/>
          <w:sz w:val="22"/>
          <w:szCs w:val="22"/>
        </w:rPr>
      </w:pPr>
      <w:r w:rsidRPr="00E56313">
        <w:rPr>
          <w:rFonts w:cs="Times New Roman"/>
          <w:bCs/>
          <w:sz w:val="22"/>
          <w:szCs w:val="22"/>
        </w:rPr>
        <w:lastRenderedPageBreak/>
        <w:t xml:space="preserve">Burhanudin, B., &amp; Ferguson, D. (2018). Environmental issues: managing product switching intentions among Indonesian consumers. </w:t>
      </w:r>
      <w:r w:rsidRPr="00E56313">
        <w:rPr>
          <w:rFonts w:cs="Times New Roman"/>
          <w:bCs/>
          <w:i/>
          <w:sz w:val="22"/>
          <w:szCs w:val="22"/>
        </w:rPr>
        <w:t>Journal of Asia Business Studies,</w:t>
      </w:r>
      <w:r w:rsidRPr="00E56313">
        <w:rPr>
          <w:rFonts w:cs="Times New Roman"/>
          <w:bCs/>
          <w:sz w:val="22"/>
          <w:szCs w:val="22"/>
        </w:rPr>
        <w:t xml:space="preserve"> 12(1), 99-116.</w:t>
      </w:r>
    </w:p>
    <w:p w14:paraId="2739ED5C" w14:textId="77777777" w:rsidR="00E56313" w:rsidRPr="00E56313" w:rsidRDefault="00E56313" w:rsidP="00E56313">
      <w:pPr>
        <w:rPr>
          <w:rFonts w:cs="Times New Roman"/>
          <w:bCs/>
          <w:sz w:val="22"/>
          <w:szCs w:val="22"/>
        </w:rPr>
      </w:pPr>
      <w:r w:rsidRPr="00E56313">
        <w:rPr>
          <w:rFonts w:cs="Times New Roman"/>
          <w:bCs/>
          <w:sz w:val="22"/>
          <w:szCs w:val="22"/>
        </w:rPr>
        <w:t xml:space="preserve">Dangelico R. M., &amp; Pujari D. (2010). Mainstreaming green product innovation: why and how companies integrate environmental sustainability. </w:t>
      </w:r>
      <w:r w:rsidRPr="00E56313">
        <w:rPr>
          <w:rFonts w:cs="Times New Roman"/>
          <w:bCs/>
          <w:i/>
          <w:sz w:val="22"/>
          <w:szCs w:val="22"/>
        </w:rPr>
        <w:t xml:space="preserve">J. Bus. Ethics </w:t>
      </w:r>
      <w:r w:rsidRPr="00E56313">
        <w:rPr>
          <w:rFonts w:cs="Times New Roman"/>
          <w:bCs/>
          <w:sz w:val="22"/>
          <w:szCs w:val="22"/>
        </w:rPr>
        <w:t>95, 471–486.</w:t>
      </w:r>
    </w:p>
    <w:p w14:paraId="74539D63" w14:textId="77777777" w:rsidR="00E56313" w:rsidRPr="00E56313" w:rsidRDefault="00E56313" w:rsidP="00E56313">
      <w:pPr>
        <w:rPr>
          <w:rFonts w:cs="Times New Roman"/>
          <w:bCs/>
          <w:i/>
          <w:sz w:val="22"/>
          <w:szCs w:val="22"/>
        </w:rPr>
      </w:pPr>
      <w:r w:rsidRPr="00E56313">
        <w:rPr>
          <w:rFonts w:cs="Times New Roman"/>
          <w:bCs/>
          <w:sz w:val="22"/>
          <w:szCs w:val="22"/>
        </w:rPr>
        <w:t>De-Medeiros, J. F., Ribeiro, J. L. D., &amp; Cortimiglia, M. N. (2016). Influence of perceived value on purchasing decisions of green products in Brazil.</w:t>
      </w:r>
      <w:r w:rsidRPr="00E56313">
        <w:rPr>
          <w:rFonts w:cs="Times New Roman"/>
          <w:bCs/>
          <w:i/>
          <w:sz w:val="22"/>
          <w:szCs w:val="22"/>
        </w:rPr>
        <w:t xml:space="preserve"> Journal of Cleaner Production, </w:t>
      </w:r>
      <w:r w:rsidRPr="00E56313">
        <w:rPr>
          <w:rFonts w:cs="Times New Roman"/>
          <w:bCs/>
          <w:sz w:val="22"/>
          <w:szCs w:val="22"/>
        </w:rPr>
        <w:t>110, 158-169.</w:t>
      </w:r>
    </w:p>
    <w:p w14:paraId="46C9DD4B" w14:textId="77777777" w:rsidR="00E56313" w:rsidRPr="00E56313" w:rsidRDefault="00E56313" w:rsidP="00E56313">
      <w:pPr>
        <w:rPr>
          <w:rFonts w:cs="Times New Roman"/>
          <w:bCs/>
          <w:sz w:val="22"/>
          <w:szCs w:val="22"/>
        </w:rPr>
      </w:pPr>
      <w:r w:rsidRPr="00E56313">
        <w:rPr>
          <w:rFonts w:cs="Times New Roman"/>
          <w:bCs/>
          <w:sz w:val="22"/>
          <w:szCs w:val="22"/>
        </w:rPr>
        <w:t xml:space="preserve">Felix, R., &amp; Braunsberger, K. (2016). I believe therefore I care: The relationship between religiosity, environmental attitudes, and green product purchase in Mexico. </w:t>
      </w:r>
      <w:r w:rsidRPr="00E56313">
        <w:rPr>
          <w:rFonts w:cs="Times New Roman"/>
          <w:bCs/>
          <w:i/>
          <w:sz w:val="22"/>
          <w:szCs w:val="22"/>
        </w:rPr>
        <w:t>International Marketing Review,</w:t>
      </w:r>
      <w:r w:rsidRPr="00E56313">
        <w:rPr>
          <w:rFonts w:cs="Times New Roman"/>
          <w:bCs/>
          <w:sz w:val="22"/>
          <w:szCs w:val="22"/>
        </w:rPr>
        <w:t xml:space="preserve"> 33(1), 137–155. </w:t>
      </w:r>
    </w:p>
    <w:p w14:paraId="493B69AD" w14:textId="77777777" w:rsidR="00E56313" w:rsidRPr="00E56313" w:rsidRDefault="00E56313" w:rsidP="00E56313">
      <w:pPr>
        <w:rPr>
          <w:rFonts w:cs="Times New Roman"/>
          <w:bCs/>
          <w:sz w:val="22"/>
          <w:szCs w:val="22"/>
        </w:rPr>
      </w:pPr>
      <w:r w:rsidRPr="00E56313">
        <w:rPr>
          <w:rFonts w:cs="Times New Roman"/>
          <w:bCs/>
          <w:sz w:val="22"/>
          <w:szCs w:val="22"/>
        </w:rPr>
        <w:t xml:space="preserve">Gotschi, E., Vogel, S., &amp; Lindenthal, T. (2007). High school students’ attitudes and behaviour towards organic products: Survey results from Vienna. </w:t>
      </w:r>
      <w:r w:rsidRPr="00E56313">
        <w:rPr>
          <w:rFonts w:cs="Times New Roman"/>
          <w:bCs/>
          <w:i/>
          <w:sz w:val="22"/>
          <w:szCs w:val="22"/>
        </w:rPr>
        <w:t>Econstor.</w:t>
      </w:r>
      <w:r w:rsidRPr="00E56313">
        <w:rPr>
          <w:rFonts w:cs="Times New Roman"/>
          <w:bCs/>
          <w:sz w:val="22"/>
          <w:szCs w:val="22"/>
        </w:rPr>
        <w:t xml:space="preserve">  </w:t>
      </w:r>
      <w:hyperlink r:id="rId10" w:history="1">
        <w:r w:rsidRPr="00E56313">
          <w:rPr>
            <w:rStyle w:val="Hyperlink"/>
            <w:rFonts w:cs="Times New Roman"/>
            <w:bCs/>
            <w:sz w:val="22"/>
            <w:szCs w:val="22"/>
          </w:rPr>
          <w:t>https://www.econstor.eu/bitstream/10419/236567/1/dp272007.pdf</w:t>
        </w:r>
      </w:hyperlink>
      <w:r w:rsidRPr="00E56313">
        <w:rPr>
          <w:rFonts w:cs="Times New Roman"/>
          <w:bCs/>
          <w:sz w:val="22"/>
          <w:szCs w:val="22"/>
        </w:rPr>
        <w:t xml:space="preserve">. </w:t>
      </w:r>
    </w:p>
    <w:p w14:paraId="0751ED1D" w14:textId="77777777" w:rsidR="00E56313" w:rsidRPr="00E56313" w:rsidRDefault="00E56313" w:rsidP="00E56313">
      <w:pPr>
        <w:rPr>
          <w:rFonts w:cs="Times New Roman"/>
          <w:bCs/>
          <w:sz w:val="22"/>
          <w:szCs w:val="22"/>
        </w:rPr>
      </w:pPr>
      <w:r w:rsidRPr="00E56313">
        <w:rPr>
          <w:rFonts w:cs="Times New Roman"/>
          <w:bCs/>
          <w:sz w:val="22"/>
          <w:szCs w:val="22"/>
        </w:rPr>
        <w:t xml:space="preserve">Han, H., &amp; Kim, Y. (2010). An investigation of green hotel customers’ decision formation: Developing an extended model of the theory of planned behavior. </w:t>
      </w:r>
      <w:r w:rsidRPr="00E56313">
        <w:rPr>
          <w:rFonts w:cs="Times New Roman"/>
          <w:bCs/>
          <w:i/>
          <w:sz w:val="22"/>
          <w:szCs w:val="22"/>
        </w:rPr>
        <w:t>International journal of hospitality management,</w:t>
      </w:r>
      <w:r w:rsidRPr="00E56313">
        <w:rPr>
          <w:rFonts w:cs="Times New Roman"/>
          <w:bCs/>
          <w:sz w:val="22"/>
          <w:szCs w:val="22"/>
        </w:rPr>
        <w:t xml:space="preserve"> 29(4), 659-668. </w:t>
      </w:r>
    </w:p>
    <w:p w14:paraId="6D022E26" w14:textId="77777777" w:rsidR="00E56313" w:rsidRPr="00E56313" w:rsidRDefault="00E56313" w:rsidP="00E56313">
      <w:pPr>
        <w:rPr>
          <w:rFonts w:cs="Times New Roman"/>
          <w:bCs/>
          <w:sz w:val="22"/>
          <w:szCs w:val="22"/>
        </w:rPr>
      </w:pPr>
      <w:r w:rsidRPr="00E56313">
        <w:rPr>
          <w:rFonts w:cs="Times New Roman"/>
          <w:bCs/>
          <w:sz w:val="22"/>
          <w:szCs w:val="22"/>
        </w:rPr>
        <w:t xml:space="preserve">Iqbal, A., Iqbal, M. S., Athar, A., &amp; Khan, S. A. (2023). Impact of green marketing on consumer purchase intention: The moderating role of environmental knowledge. </w:t>
      </w:r>
      <w:r w:rsidRPr="00E56313">
        <w:rPr>
          <w:rFonts w:cs="Times New Roman"/>
          <w:bCs/>
          <w:i/>
          <w:sz w:val="22"/>
          <w:szCs w:val="22"/>
        </w:rPr>
        <w:t>Journal of Social &amp; Organizational Matters,</w:t>
      </w:r>
      <w:r w:rsidRPr="00E56313">
        <w:rPr>
          <w:rFonts w:cs="Times New Roman"/>
          <w:bCs/>
          <w:sz w:val="22"/>
          <w:szCs w:val="22"/>
        </w:rPr>
        <w:t xml:space="preserve"> 2(2). 43-58. </w:t>
      </w:r>
    </w:p>
    <w:p w14:paraId="07B165FD" w14:textId="77777777" w:rsidR="00E56313" w:rsidRPr="00E56313" w:rsidRDefault="00E56313" w:rsidP="00E56313">
      <w:pPr>
        <w:rPr>
          <w:rFonts w:cs="Times New Roman"/>
          <w:bCs/>
          <w:sz w:val="22"/>
          <w:szCs w:val="22"/>
        </w:rPr>
      </w:pPr>
      <w:r w:rsidRPr="00E56313">
        <w:rPr>
          <w:rFonts w:cs="Times New Roman"/>
          <w:bCs/>
          <w:sz w:val="22"/>
          <w:szCs w:val="22"/>
        </w:rPr>
        <w:t xml:space="preserve">Iranmanesh, M., Jayaraman, K., Charles Imrie, B., &amp; Zailani, S. (2016). Promoting products through volume discount: Evidence from Malaysia. </w:t>
      </w:r>
      <w:r w:rsidRPr="00E56313">
        <w:rPr>
          <w:rFonts w:cs="Times New Roman"/>
          <w:bCs/>
          <w:i/>
          <w:sz w:val="22"/>
          <w:szCs w:val="22"/>
        </w:rPr>
        <w:t xml:space="preserve">Journal of Promotion Management, </w:t>
      </w:r>
      <w:r w:rsidRPr="00E56313">
        <w:rPr>
          <w:rFonts w:cs="Times New Roman"/>
          <w:bCs/>
          <w:sz w:val="22"/>
          <w:szCs w:val="22"/>
        </w:rPr>
        <w:t xml:space="preserve">22(1), 71–88. </w:t>
      </w:r>
    </w:p>
    <w:p w14:paraId="3BA249E4" w14:textId="77777777" w:rsidR="00E56313" w:rsidRPr="00E56313" w:rsidRDefault="00E56313" w:rsidP="00E56313">
      <w:pPr>
        <w:rPr>
          <w:rFonts w:cs="Times New Roman"/>
          <w:bCs/>
          <w:sz w:val="22"/>
          <w:szCs w:val="22"/>
        </w:rPr>
      </w:pPr>
      <w:r w:rsidRPr="00E56313">
        <w:rPr>
          <w:rFonts w:cs="Times New Roman"/>
          <w:bCs/>
          <w:sz w:val="22"/>
          <w:szCs w:val="22"/>
        </w:rPr>
        <w:t xml:space="preserve">Jung, H. J., Oh, K. W., &amp; Kim, H. M. (2021). Country differences in determinants of behavioral intention towards sustainable apparel products. </w:t>
      </w:r>
      <w:r w:rsidRPr="00E56313">
        <w:rPr>
          <w:rFonts w:cs="Times New Roman"/>
          <w:bCs/>
          <w:i/>
          <w:sz w:val="22"/>
          <w:szCs w:val="22"/>
        </w:rPr>
        <w:t>Sustainability,</w:t>
      </w:r>
      <w:r w:rsidRPr="00E56313">
        <w:rPr>
          <w:rFonts w:cs="Times New Roman"/>
          <w:bCs/>
          <w:sz w:val="22"/>
          <w:szCs w:val="22"/>
        </w:rPr>
        <w:t xml:space="preserve"> 13(2), 558. </w:t>
      </w:r>
    </w:p>
    <w:p w14:paraId="5BF98565" w14:textId="77777777" w:rsidR="00E56313" w:rsidRPr="00E56313" w:rsidRDefault="00E56313" w:rsidP="00E56313">
      <w:pPr>
        <w:rPr>
          <w:rFonts w:cs="Times New Roman"/>
          <w:bCs/>
          <w:sz w:val="22"/>
          <w:szCs w:val="22"/>
        </w:rPr>
      </w:pPr>
      <w:r w:rsidRPr="00E56313">
        <w:rPr>
          <w:rFonts w:cs="Times New Roman"/>
          <w:bCs/>
          <w:sz w:val="22"/>
          <w:szCs w:val="22"/>
        </w:rPr>
        <w:t>Kong W., Harun A., Sulong R., &amp; Lily J. (2014). The influence of consumers’ perception of green products on green purchase intention. Int. J. Asian Soc. Sci. 4 924–939.</w:t>
      </w:r>
    </w:p>
    <w:p w14:paraId="0E7F5E2B" w14:textId="77777777" w:rsidR="00E56313" w:rsidRPr="00E56313" w:rsidRDefault="00E56313" w:rsidP="00E56313">
      <w:pPr>
        <w:rPr>
          <w:rFonts w:cs="Times New Roman"/>
          <w:bCs/>
          <w:sz w:val="22"/>
          <w:szCs w:val="22"/>
        </w:rPr>
      </w:pPr>
      <w:r w:rsidRPr="00E56313">
        <w:rPr>
          <w:rFonts w:cs="Times New Roman"/>
          <w:bCs/>
          <w:sz w:val="22"/>
          <w:szCs w:val="22"/>
        </w:rPr>
        <w:t xml:space="preserve">Lai, M. C., &amp; Eddie W. L., Cheng. (2016). Green purchase behavior of undergraduate students in Hong Kong. </w:t>
      </w:r>
      <w:r w:rsidRPr="00E56313">
        <w:rPr>
          <w:rFonts w:cs="Times New Roman"/>
          <w:bCs/>
          <w:i/>
          <w:sz w:val="22"/>
          <w:szCs w:val="22"/>
        </w:rPr>
        <w:t>The Social Science Journal,</w:t>
      </w:r>
      <w:r w:rsidRPr="00E56313">
        <w:rPr>
          <w:rFonts w:cs="Times New Roman"/>
          <w:bCs/>
          <w:sz w:val="22"/>
          <w:szCs w:val="22"/>
        </w:rPr>
        <w:t xml:space="preserve"> 53(1), 67–76.</w:t>
      </w:r>
    </w:p>
    <w:p w14:paraId="474C4F5E" w14:textId="77777777" w:rsidR="00E56313" w:rsidRPr="00E56313" w:rsidRDefault="00E56313" w:rsidP="00E56313">
      <w:pPr>
        <w:rPr>
          <w:rFonts w:cs="Times New Roman"/>
          <w:bCs/>
          <w:sz w:val="22"/>
          <w:szCs w:val="22"/>
        </w:rPr>
      </w:pPr>
      <w:r w:rsidRPr="00E56313">
        <w:rPr>
          <w:rFonts w:cs="Times New Roman"/>
          <w:bCs/>
          <w:sz w:val="22"/>
          <w:szCs w:val="22"/>
        </w:rPr>
        <w:t xml:space="preserve">Liang, G. (2024). Factors affecting green purchase behavior and future marketing strategy. </w:t>
      </w:r>
      <w:r w:rsidRPr="00E56313">
        <w:rPr>
          <w:rFonts w:cs="Times New Roman"/>
          <w:bCs/>
          <w:i/>
          <w:sz w:val="22"/>
          <w:szCs w:val="22"/>
        </w:rPr>
        <w:t>American Journal of Industrial and Business Management,</w:t>
      </w:r>
      <w:r w:rsidRPr="00E56313">
        <w:rPr>
          <w:rFonts w:cs="Times New Roman"/>
          <w:bCs/>
          <w:sz w:val="22"/>
          <w:szCs w:val="22"/>
        </w:rPr>
        <w:t xml:space="preserve"> 14, 194-213.</w:t>
      </w:r>
    </w:p>
    <w:p w14:paraId="558DA862" w14:textId="77777777" w:rsidR="00E56313" w:rsidRPr="00E56313" w:rsidRDefault="00E56313" w:rsidP="00E56313">
      <w:pPr>
        <w:rPr>
          <w:rFonts w:cs="Times New Roman"/>
          <w:bCs/>
          <w:sz w:val="22"/>
          <w:szCs w:val="22"/>
        </w:rPr>
      </w:pPr>
      <w:r w:rsidRPr="00E56313">
        <w:rPr>
          <w:rFonts w:cs="Times New Roman"/>
          <w:bCs/>
          <w:sz w:val="22"/>
          <w:szCs w:val="22"/>
        </w:rPr>
        <w:t xml:space="preserve">Moisander, J. (2007). Motivational complexity of green consumerism. </w:t>
      </w:r>
      <w:r w:rsidRPr="00E56313">
        <w:rPr>
          <w:rFonts w:cs="Times New Roman"/>
          <w:bCs/>
          <w:i/>
          <w:sz w:val="22"/>
          <w:szCs w:val="22"/>
        </w:rPr>
        <w:t>International Journal of Consumer Studies,</w:t>
      </w:r>
      <w:r w:rsidRPr="00E56313">
        <w:rPr>
          <w:rFonts w:cs="Times New Roman"/>
          <w:bCs/>
          <w:sz w:val="22"/>
          <w:szCs w:val="22"/>
        </w:rPr>
        <w:t xml:space="preserve"> 31, 404-409.</w:t>
      </w:r>
    </w:p>
    <w:p w14:paraId="36818C45" w14:textId="77777777" w:rsidR="00E56313" w:rsidRPr="00E56313" w:rsidRDefault="00E56313" w:rsidP="00E56313">
      <w:pPr>
        <w:rPr>
          <w:rFonts w:cs="Times New Roman"/>
          <w:bCs/>
          <w:sz w:val="22"/>
          <w:szCs w:val="22"/>
        </w:rPr>
      </w:pPr>
      <w:r w:rsidRPr="00E56313">
        <w:rPr>
          <w:rFonts w:cs="Times New Roman"/>
          <w:bCs/>
          <w:sz w:val="22"/>
          <w:szCs w:val="22"/>
        </w:rPr>
        <w:t xml:space="preserve">Öhman, N. (2011). Buying or lying-the role of social pressure and temporal disjunction of intention assessment and behavior on the predictive ability of good intentions. Journal of Retailing and Consumer Services, 18(3), 194–199. </w:t>
      </w:r>
    </w:p>
    <w:p w14:paraId="22EF16A6" w14:textId="77777777" w:rsidR="00E56313" w:rsidRPr="00E56313" w:rsidRDefault="00E56313" w:rsidP="00E56313">
      <w:pPr>
        <w:rPr>
          <w:rFonts w:cs="Times New Roman"/>
          <w:bCs/>
          <w:sz w:val="22"/>
          <w:szCs w:val="22"/>
        </w:rPr>
      </w:pPr>
      <w:r w:rsidRPr="00E56313">
        <w:rPr>
          <w:rFonts w:cs="Times New Roman"/>
          <w:bCs/>
          <w:sz w:val="22"/>
          <w:szCs w:val="22"/>
        </w:rPr>
        <w:t xml:space="preserve">Ottman J. A., Stafford E. R., &amp; Hartman C. L. (2006). Avoiding green marketing myopia: ways to improve consumer appeal for environmentally preferable products. </w:t>
      </w:r>
      <w:r w:rsidRPr="00E56313">
        <w:rPr>
          <w:rFonts w:cs="Times New Roman"/>
          <w:bCs/>
          <w:i/>
          <w:sz w:val="22"/>
          <w:szCs w:val="22"/>
        </w:rPr>
        <w:t>Environment</w:t>
      </w:r>
      <w:r w:rsidRPr="00E56313">
        <w:rPr>
          <w:rFonts w:cs="Times New Roman"/>
          <w:bCs/>
          <w:sz w:val="22"/>
          <w:szCs w:val="22"/>
        </w:rPr>
        <w:t xml:space="preserve"> 48 22–36.</w:t>
      </w:r>
    </w:p>
    <w:p w14:paraId="4944A124" w14:textId="77777777" w:rsidR="00E56313" w:rsidRPr="00E56313" w:rsidRDefault="00E56313" w:rsidP="00E56313">
      <w:pPr>
        <w:rPr>
          <w:rFonts w:cs="Times New Roman"/>
          <w:bCs/>
          <w:sz w:val="22"/>
          <w:szCs w:val="22"/>
        </w:rPr>
      </w:pPr>
      <w:r w:rsidRPr="00E56313">
        <w:rPr>
          <w:rFonts w:cs="Times New Roman"/>
          <w:bCs/>
          <w:sz w:val="22"/>
          <w:szCs w:val="22"/>
        </w:rPr>
        <w:lastRenderedPageBreak/>
        <w:t>Punyatoya, P. (2015). Effect of perceived brand environment-friendliness on Indian consumer attitude and purchase intention: An integrated model.</w:t>
      </w:r>
      <w:r w:rsidRPr="00E56313">
        <w:rPr>
          <w:rFonts w:cs="Times New Roman"/>
          <w:bCs/>
          <w:i/>
          <w:sz w:val="22"/>
          <w:szCs w:val="22"/>
        </w:rPr>
        <w:t xml:space="preserve"> Marketing Intelligence &amp; Planning, </w:t>
      </w:r>
      <w:r w:rsidRPr="00E56313">
        <w:rPr>
          <w:rFonts w:cs="Times New Roman"/>
          <w:bCs/>
          <w:sz w:val="22"/>
          <w:szCs w:val="22"/>
        </w:rPr>
        <w:t xml:space="preserve">33(3),258-275. </w:t>
      </w:r>
    </w:p>
    <w:p w14:paraId="68E6BCD0" w14:textId="77777777" w:rsidR="00E56313" w:rsidRPr="00E56313" w:rsidRDefault="00E56313" w:rsidP="00E56313">
      <w:pPr>
        <w:rPr>
          <w:rFonts w:cs="Times New Roman"/>
          <w:bCs/>
          <w:sz w:val="22"/>
          <w:szCs w:val="22"/>
        </w:rPr>
      </w:pPr>
      <w:r w:rsidRPr="00E56313">
        <w:rPr>
          <w:rFonts w:cs="Times New Roman"/>
          <w:bCs/>
          <w:sz w:val="22"/>
          <w:szCs w:val="22"/>
        </w:rPr>
        <w:t xml:space="preserve">Ramayah, T., Lee, J. W. C., &amp; Mohamad, O. (2010). Green product purchase intention: Some insights from a developing country. </w:t>
      </w:r>
      <w:r w:rsidRPr="00E56313">
        <w:rPr>
          <w:rFonts w:cs="Times New Roman"/>
          <w:bCs/>
          <w:i/>
          <w:sz w:val="22"/>
          <w:szCs w:val="22"/>
        </w:rPr>
        <w:t>Resources, Conservation and Recycling,</w:t>
      </w:r>
      <w:r w:rsidRPr="00E56313">
        <w:rPr>
          <w:rFonts w:cs="Times New Roman"/>
          <w:bCs/>
          <w:sz w:val="22"/>
          <w:szCs w:val="22"/>
        </w:rPr>
        <w:t xml:space="preserve"> 54, 1419-1427.</w:t>
      </w:r>
    </w:p>
    <w:p w14:paraId="76E6767D" w14:textId="77777777" w:rsidR="00E56313" w:rsidRPr="00E56313" w:rsidRDefault="00E56313" w:rsidP="00E56313">
      <w:pPr>
        <w:rPr>
          <w:rFonts w:cs="Times New Roman"/>
          <w:bCs/>
          <w:i/>
          <w:sz w:val="22"/>
          <w:szCs w:val="22"/>
        </w:rPr>
      </w:pPr>
      <w:r w:rsidRPr="00E56313">
        <w:rPr>
          <w:rFonts w:cs="Times New Roman"/>
          <w:bCs/>
          <w:sz w:val="22"/>
          <w:szCs w:val="22"/>
        </w:rPr>
        <w:t>Rausch, T. M., &amp; Kopplin, C. S. (2021). Bridge the gap: Consumers’ purchase intention andbehavior regarding sustainable clothing. Journal of Cleaner Production, 278, 123882.</w:t>
      </w:r>
    </w:p>
    <w:p w14:paraId="025C8E14" w14:textId="77777777" w:rsidR="00E56313" w:rsidRPr="00E56313" w:rsidRDefault="00E56313" w:rsidP="00E56313">
      <w:pPr>
        <w:rPr>
          <w:rFonts w:cs="Times New Roman"/>
          <w:bCs/>
          <w:sz w:val="22"/>
          <w:szCs w:val="22"/>
        </w:rPr>
      </w:pPr>
      <w:r w:rsidRPr="00E56313">
        <w:rPr>
          <w:rFonts w:cs="Times New Roman"/>
          <w:bCs/>
          <w:sz w:val="22"/>
          <w:szCs w:val="22"/>
        </w:rPr>
        <w:t xml:space="preserve">ReportLinker, (2024). Global green product: market overview 2024-2028. </w:t>
      </w:r>
      <w:hyperlink r:id="rId11" w:history="1">
        <w:r w:rsidRPr="00E56313">
          <w:rPr>
            <w:rStyle w:val="Hyperlink"/>
            <w:rFonts w:cs="Times New Roman"/>
            <w:bCs/>
            <w:sz w:val="22"/>
            <w:szCs w:val="22"/>
          </w:rPr>
          <w:t>https://www.reportlinker.com/market-report/Environmental-Services/514390/Green-Product</w:t>
        </w:r>
      </w:hyperlink>
      <w:r w:rsidRPr="00E56313">
        <w:rPr>
          <w:rFonts w:cs="Times New Roman"/>
          <w:bCs/>
          <w:sz w:val="22"/>
          <w:szCs w:val="22"/>
        </w:rPr>
        <w:t xml:space="preserve">? </w:t>
      </w:r>
    </w:p>
    <w:p w14:paraId="33C341B3" w14:textId="77777777" w:rsidR="00E56313" w:rsidRPr="00E56313" w:rsidRDefault="00E56313" w:rsidP="00E56313">
      <w:pPr>
        <w:rPr>
          <w:rFonts w:cs="Times New Roman"/>
          <w:bCs/>
          <w:sz w:val="22"/>
          <w:szCs w:val="22"/>
        </w:rPr>
      </w:pPr>
      <w:r w:rsidRPr="00E56313">
        <w:rPr>
          <w:rFonts w:cs="Times New Roman"/>
          <w:bCs/>
          <w:sz w:val="22"/>
          <w:szCs w:val="22"/>
        </w:rPr>
        <w:t xml:space="preserve">ReportLinker, (2024). Nigeria green product market size.  </w:t>
      </w:r>
      <w:hyperlink r:id="rId12" w:history="1">
        <w:r w:rsidRPr="00E56313">
          <w:rPr>
            <w:rStyle w:val="Hyperlink"/>
            <w:rFonts w:cs="Times New Roman"/>
            <w:bCs/>
            <w:sz w:val="22"/>
            <w:szCs w:val="22"/>
          </w:rPr>
          <w:t>https://www.reportlinker.com/market-report/Environmental-Services/514390/Green-Product</w:t>
        </w:r>
      </w:hyperlink>
      <w:r w:rsidRPr="00E56313">
        <w:rPr>
          <w:rFonts w:cs="Times New Roman"/>
          <w:bCs/>
          <w:sz w:val="22"/>
          <w:szCs w:val="22"/>
        </w:rPr>
        <w:t>?</w:t>
      </w:r>
    </w:p>
    <w:p w14:paraId="64BC3EDA" w14:textId="77777777" w:rsidR="00E56313" w:rsidRPr="00E56313" w:rsidRDefault="00E56313" w:rsidP="00E56313">
      <w:pPr>
        <w:rPr>
          <w:rFonts w:cs="Times New Roman"/>
          <w:bCs/>
          <w:sz w:val="22"/>
          <w:szCs w:val="22"/>
        </w:rPr>
      </w:pPr>
      <w:r w:rsidRPr="00E56313">
        <w:rPr>
          <w:rFonts w:cs="Times New Roman"/>
          <w:bCs/>
          <w:sz w:val="22"/>
          <w:szCs w:val="22"/>
        </w:rPr>
        <w:t>Ruangkanjanases, A., You, J. J., Chien, S. W., Ma, Y., Chen, S. C., &amp; Chao, L. C. (2020). Elucidating the effect of antecedents on consumers’ green purchase intention: an extension of the theory of planned behavior.</w:t>
      </w:r>
      <w:r w:rsidRPr="00E56313">
        <w:rPr>
          <w:rFonts w:cs="Times New Roman"/>
          <w:bCs/>
          <w:i/>
          <w:sz w:val="22"/>
          <w:szCs w:val="22"/>
        </w:rPr>
        <w:t xml:space="preserve"> Frontiers in Psychology, </w:t>
      </w:r>
      <w:r w:rsidRPr="00E56313">
        <w:rPr>
          <w:rFonts w:cs="Times New Roman"/>
          <w:bCs/>
          <w:sz w:val="22"/>
          <w:szCs w:val="22"/>
        </w:rPr>
        <w:t>11,</w:t>
      </w:r>
      <w:r w:rsidRPr="00E56313">
        <w:rPr>
          <w:rFonts w:cs="Times New Roman"/>
          <w:bCs/>
          <w:i/>
          <w:sz w:val="22"/>
          <w:szCs w:val="22"/>
        </w:rPr>
        <w:t xml:space="preserve"> </w:t>
      </w:r>
      <w:r w:rsidRPr="00E56313">
        <w:rPr>
          <w:rFonts w:cs="Times New Roman"/>
          <w:bCs/>
          <w:sz w:val="22"/>
          <w:szCs w:val="22"/>
        </w:rPr>
        <w:t>14-33.</w:t>
      </w:r>
    </w:p>
    <w:p w14:paraId="24C42556" w14:textId="77777777" w:rsidR="00E56313" w:rsidRPr="00E56313" w:rsidRDefault="00E56313" w:rsidP="00E56313">
      <w:pPr>
        <w:rPr>
          <w:rFonts w:cs="Times New Roman"/>
          <w:bCs/>
          <w:i/>
          <w:sz w:val="22"/>
          <w:szCs w:val="22"/>
        </w:rPr>
      </w:pPr>
      <w:r w:rsidRPr="00E56313">
        <w:rPr>
          <w:rFonts w:cs="Times New Roman"/>
          <w:bCs/>
          <w:sz w:val="22"/>
          <w:szCs w:val="22"/>
        </w:rPr>
        <w:t xml:space="preserve">Shamdasani, P., Chon-Lin, G. O., &amp; Richmond, D. (1993). Exploring green consumers in an oriental culture: Role of personal and marketing mix factors. </w:t>
      </w:r>
      <w:r w:rsidRPr="00E56313">
        <w:rPr>
          <w:rFonts w:cs="Times New Roman"/>
          <w:bCs/>
          <w:i/>
          <w:sz w:val="22"/>
          <w:szCs w:val="22"/>
        </w:rPr>
        <w:t>ACR North American Advances.</w:t>
      </w:r>
    </w:p>
    <w:p w14:paraId="13D91C8D" w14:textId="77777777" w:rsidR="00E56313" w:rsidRPr="00E56313" w:rsidRDefault="00E56313" w:rsidP="00E56313">
      <w:pPr>
        <w:rPr>
          <w:rFonts w:cs="Times New Roman"/>
          <w:bCs/>
          <w:sz w:val="22"/>
          <w:szCs w:val="22"/>
        </w:rPr>
      </w:pPr>
      <w:r w:rsidRPr="00E56313">
        <w:rPr>
          <w:rFonts w:cs="Times New Roman"/>
          <w:bCs/>
          <w:sz w:val="22"/>
          <w:szCs w:val="22"/>
        </w:rPr>
        <w:t xml:space="preserve">Solomon, M. R. (2015). Consumer Behavior: Buying, Having, and Being, 11th Ed. Essex, NJ: </w:t>
      </w:r>
      <w:r w:rsidRPr="00E56313">
        <w:rPr>
          <w:rFonts w:cs="Times New Roman"/>
          <w:bCs/>
          <w:i/>
          <w:sz w:val="22"/>
          <w:szCs w:val="22"/>
        </w:rPr>
        <w:t>Pearson Education Inc.</w:t>
      </w:r>
    </w:p>
    <w:p w14:paraId="0B290B91" w14:textId="77777777" w:rsidR="00E56313" w:rsidRPr="00E56313" w:rsidRDefault="00E56313" w:rsidP="00E56313">
      <w:pPr>
        <w:rPr>
          <w:rFonts w:cs="Times New Roman"/>
          <w:bCs/>
          <w:sz w:val="22"/>
          <w:szCs w:val="22"/>
        </w:rPr>
      </w:pPr>
      <w:r w:rsidRPr="00E56313">
        <w:rPr>
          <w:rFonts w:cs="Times New Roman"/>
          <w:bCs/>
          <w:sz w:val="22"/>
          <w:szCs w:val="22"/>
        </w:rPr>
        <w:t>Taylor, S. L., &amp; Cosenza, R. M. (2002). Profiling later aged female teens: Mall shopping behavior and clothing choice. Journal of Consumer Marketing, 19(5), 393–408.</w:t>
      </w:r>
    </w:p>
    <w:p w14:paraId="40AD71F2" w14:textId="77777777" w:rsidR="00E56313" w:rsidRPr="00E56313" w:rsidRDefault="00E56313" w:rsidP="00E56313">
      <w:pPr>
        <w:rPr>
          <w:rFonts w:cs="Times New Roman"/>
          <w:bCs/>
          <w:sz w:val="22"/>
          <w:szCs w:val="22"/>
        </w:rPr>
      </w:pPr>
      <w:r w:rsidRPr="00E56313">
        <w:rPr>
          <w:rFonts w:cs="Times New Roman"/>
          <w:bCs/>
          <w:sz w:val="22"/>
          <w:szCs w:val="22"/>
        </w:rPr>
        <w:t xml:space="preserve">Varshneya, G., Pandey, S., &amp; Das, G. (2017). Impact of social influence and green consumption values on purchase intention of organic clothing: A study on collectivist developing economy. </w:t>
      </w:r>
      <w:r w:rsidRPr="00E56313">
        <w:rPr>
          <w:rFonts w:cs="Times New Roman"/>
          <w:bCs/>
          <w:i/>
          <w:sz w:val="22"/>
          <w:szCs w:val="22"/>
        </w:rPr>
        <w:t>Global Business Review,</w:t>
      </w:r>
      <w:r w:rsidRPr="00E56313">
        <w:rPr>
          <w:rFonts w:cs="Times New Roman"/>
          <w:bCs/>
          <w:sz w:val="22"/>
          <w:szCs w:val="22"/>
        </w:rPr>
        <w:t xml:space="preserve"> 18(2), 478–492. </w:t>
      </w:r>
    </w:p>
    <w:p w14:paraId="58F93A90" w14:textId="77777777" w:rsidR="00E56313" w:rsidRPr="00E56313" w:rsidRDefault="00E56313" w:rsidP="00E56313">
      <w:pPr>
        <w:rPr>
          <w:rFonts w:cs="Times New Roman"/>
          <w:bCs/>
          <w:sz w:val="22"/>
          <w:szCs w:val="22"/>
        </w:rPr>
      </w:pPr>
      <w:r w:rsidRPr="00E56313">
        <w:rPr>
          <w:rFonts w:cs="Times New Roman"/>
          <w:bCs/>
          <w:sz w:val="22"/>
          <w:szCs w:val="22"/>
        </w:rPr>
        <w:t xml:space="preserve">Yadav, R., &amp; Pathak, G. S. (2016). Young consumers’ intention towards buying green products in a developing nation: Extending the theory of planned behavior. </w:t>
      </w:r>
      <w:r w:rsidRPr="00E56313">
        <w:rPr>
          <w:rFonts w:cs="Times New Roman"/>
          <w:bCs/>
          <w:i/>
          <w:sz w:val="22"/>
          <w:szCs w:val="22"/>
        </w:rPr>
        <w:t>Journal of Cleaner Production</w:t>
      </w:r>
      <w:r w:rsidRPr="00E56313">
        <w:rPr>
          <w:rFonts w:cs="Times New Roman"/>
          <w:bCs/>
          <w:sz w:val="22"/>
          <w:szCs w:val="22"/>
        </w:rPr>
        <w:t>, 135,732–739.</w:t>
      </w:r>
    </w:p>
    <w:p w14:paraId="6C48847F" w14:textId="77777777" w:rsidR="00E56313" w:rsidRPr="00E56313" w:rsidRDefault="00E56313" w:rsidP="00E56313">
      <w:pPr>
        <w:rPr>
          <w:rFonts w:cs="Times New Roman"/>
          <w:bCs/>
          <w:sz w:val="22"/>
          <w:szCs w:val="22"/>
        </w:rPr>
      </w:pPr>
      <w:r w:rsidRPr="00E56313">
        <w:rPr>
          <w:rFonts w:cs="Times New Roman"/>
          <w:bCs/>
          <w:sz w:val="22"/>
          <w:szCs w:val="22"/>
        </w:rPr>
        <w:t xml:space="preserve">Yadav, R., &amp; S. Pathak, G. (2017). Determinants of consumers’ green purchase behavior in a developing nation: Applying and extending the theory of planned behavior. </w:t>
      </w:r>
      <w:r w:rsidRPr="00E56313">
        <w:rPr>
          <w:rFonts w:cs="Times New Roman"/>
          <w:bCs/>
          <w:i/>
          <w:sz w:val="22"/>
          <w:szCs w:val="22"/>
        </w:rPr>
        <w:t>Ecological Economics,</w:t>
      </w:r>
      <w:r w:rsidRPr="00E56313">
        <w:rPr>
          <w:rFonts w:cs="Times New Roman"/>
          <w:bCs/>
          <w:sz w:val="22"/>
          <w:szCs w:val="22"/>
        </w:rPr>
        <w:t xml:space="preserve"> 134, 114–122.</w:t>
      </w:r>
    </w:p>
    <w:p w14:paraId="350FE257" w14:textId="77777777" w:rsidR="00E56313" w:rsidRPr="00E56313" w:rsidRDefault="00E56313" w:rsidP="00E56313">
      <w:pPr>
        <w:rPr>
          <w:rFonts w:cs="Times New Roman"/>
          <w:bCs/>
          <w:sz w:val="22"/>
          <w:szCs w:val="22"/>
        </w:rPr>
      </w:pPr>
      <w:r w:rsidRPr="00E56313">
        <w:rPr>
          <w:rFonts w:cs="Times New Roman"/>
          <w:bCs/>
          <w:sz w:val="22"/>
          <w:szCs w:val="22"/>
        </w:rPr>
        <w:t>Young W., Hwang K., McDonald S., Oates C. J. (2010). Sustainable consumption: green consumer behaviour when purchasing products. Sustain. Dev. 18 20–31.</w:t>
      </w:r>
    </w:p>
    <w:p w14:paraId="3D6AF427" w14:textId="77777777" w:rsidR="00E56313" w:rsidRPr="00E56313" w:rsidRDefault="00E56313" w:rsidP="00E56313">
      <w:pPr>
        <w:rPr>
          <w:rFonts w:cs="Times New Roman"/>
          <w:bCs/>
          <w:sz w:val="22"/>
          <w:szCs w:val="22"/>
        </w:rPr>
      </w:pPr>
      <w:r w:rsidRPr="00E56313">
        <w:rPr>
          <w:rFonts w:cs="Times New Roman"/>
          <w:bCs/>
          <w:sz w:val="22"/>
          <w:szCs w:val="22"/>
        </w:rPr>
        <w:t xml:space="preserve">Zhuang, W., Luo, X., &amp; Riaz, M. U. (2021). On the Factors Influencing Green Purchase Intention: A Meta-Analysis Approach. </w:t>
      </w:r>
      <w:r w:rsidRPr="00E56313">
        <w:rPr>
          <w:rFonts w:cs="Times New Roman"/>
          <w:bCs/>
          <w:i/>
          <w:sz w:val="22"/>
          <w:szCs w:val="22"/>
        </w:rPr>
        <w:t>Front Psychol,</w:t>
      </w:r>
      <w:r w:rsidRPr="00E56313">
        <w:rPr>
          <w:rFonts w:cs="Times New Roman"/>
          <w:bCs/>
          <w:sz w:val="22"/>
          <w:szCs w:val="22"/>
        </w:rPr>
        <w:t xml:space="preserve"> 12. 10.3389/fpsyg.2021.644020. </w:t>
      </w:r>
    </w:p>
    <w:p w14:paraId="2E5F2C4B" w14:textId="2F128AD0" w:rsidR="00585B43" w:rsidRPr="004756DC" w:rsidRDefault="00585B43" w:rsidP="00E56313">
      <w:pPr>
        <w:rPr>
          <w:rFonts w:cs="Times New Roman"/>
        </w:rPr>
      </w:pPr>
      <w:bookmarkStart w:id="6" w:name="_GoBack"/>
      <w:bookmarkEnd w:id="6"/>
    </w:p>
    <w:sectPr w:rsidR="00585B43" w:rsidRPr="004756DC" w:rsidSect="00DD4816">
      <w:headerReference w:type="default" r:id="rId13"/>
      <w:footerReference w:type="default" r:id="rId14"/>
      <w:pgSz w:w="9979" w:h="14175" w:code="34"/>
      <w:pgMar w:top="902" w:right="862" w:bottom="1276" w:left="862" w:header="227" w:footer="193" w:gutter="0"/>
      <w:pgNumType w:start="4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73551" w14:textId="77777777" w:rsidR="00D0430C" w:rsidRDefault="00D0430C" w:rsidP="00810E29">
      <w:pPr>
        <w:spacing w:after="0"/>
      </w:pPr>
      <w:r>
        <w:separator/>
      </w:r>
    </w:p>
  </w:endnote>
  <w:endnote w:type="continuationSeparator" w:id="0">
    <w:p w14:paraId="3D8C20BF" w14:textId="77777777" w:rsidR="00D0430C" w:rsidRDefault="00D0430C" w:rsidP="00810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umnst777 Blk BT">
    <w:altName w:val="Franklin Gothic Heavy"/>
    <w:charset w:val="00"/>
    <w:family w:val="swiss"/>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14017"/>
      <w:docPartObj>
        <w:docPartGallery w:val="Page Numbers (Bottom of Page)"/>
        <w:docPartUnique/>
      </w:docPartObj>
    </w:sdtPr>
    <w:sdtEndPr>
      <w:rPr>
        <w:noProof/>
      </w:rPr>
    </w:sdtEndPr>
    <w:sdtContent>
      <w:p w14:paraId="0F6EF5E6" w14:textId="0E26170D" w:rsidR="004756DC" w:rsidRDefault="004756DC" w:rsidP="00810E29">
        <w:pPr>
          <w:pStyle w:val="Footer"/>
          <w:jc w:val="center"/>
        </w:pPr>
        <w:r>
          <w:rPr>
            <w:noProof/>
            <w:sz w:val="22"/>
            <w:szCs w:val="22"/>
          </w:rPr>
          <mc:AlternateContent>
            <mc:Choice Requires="wps">
              <w:drawing>
                <wp:anchor distT="0" distB="0" distL="114300" distR="114300" simplePos="0" relativeHeight="251663360" behindDoc="0" locked="0" layoutInCell="1" allowOverlap="1" wp14:anchorId="2D2952E1" wp14:editId="05F3F6D9">
                  <wp:simplePos x="0" y="0"/>
                  <wp:positionH relativeFrom="column">
                    <wp:posOffset>2029460</wp:posOffset>
                  </wp:positionH>
                  <wp:positionV relativeFrom="paragraph">
                    <wp:posOffset>86360</wp:posOffset>
                  </wp:positionV>
                  <wp:extent cx="395605" cy="0"/>
                  <wp:effectExtent l="0" t="0" r="0" b="0"/>
                  <wp:wrapNone/>
                  <wp:docPr id="932911266" name="Straight Connector 93291126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0726E3" id="Straight Connector 9329112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8pt,6.8pt" to="19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" strokecolor="#404040 [2429]" strokeweight="1pt">
                  <v:stroke joinstyle="miter"/>
                </v:line>
              </w:pict>
            </mc:Fallback>
          </mc:AlternateContent>
        </w:r>
        <w:r>
          <w:rPr>
            <w:noProof/>
            <w:sz w:val="22"/>
            <w:szCs w:val="22"/>
          </w:rPr>
          <mc:AlternateContent>
            <mc:Choice Requires="wps">
              <w:drawing>
                <wp:anchor distT="0" distB="0" distL="114300" distR="114300" simplePos="0" relativeHeight="251662336" behindDoc="0" locked="0" layoutInCell="1" allowOverlap="1" wp14:anchorId="0938D252" wp14:editId="4CAAED9B">
                  <wp:simplePos x="0" y="0"/>
                  <wp:positionH relativeFrom="column">
                    <wp:posOffset>2767965</wp:posOffset>
                  </wp:positionH>
                  <wp:positionV relativeFrom="paragraph">
                    <wp:posOffset>86360</wp:posOffset>
                  </wp:positionV>
                  <wp:extent cx="395605"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395605"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7BE068" id="Straight Connector 5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5pt,6.8pt" to="249.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" strokecolor="#404040 [2429]" strokeweight="1pt">
                  <v:stroke joinstyle="miter"/>
                </v:line>
              </w:pict>
            </mc:Fallback>
          </mc:AlternateContent>
        </w:r>
        <w:r w:rsidRPr="00537338">
          <w:rPr>
            <w:sz w:val="22"/>
            <w:szCs w:val="22"/>
          </w:rPr>
          <w:fldChar w:fldCharType="begin"/>
        </w:r>
        <w:r w:rsidRPr="00537338">
          <w:rPr>
            <w:sz w:val="22"/>
            <w:szCs w:val="22"/>
          </w:rPr>
          <w:instrText xml:space="preserve"> PAGE   \* MERGEFORMAT </w:instrText>
        </w:r>
        <w:r w:rsidRPr="00537338">
          <w:rPr>
            <w:sz w:val="22"/>
            <w:szCs w:val="22"/>
          </w:rPr>
          <w:fldChar w:fldCharType="separate"/>
        </w:r>
        <w:r w:rsidR="00E25C87">
          <w:rPr>
            <w:noProof/>
            <w:sz w:val="22"/>
            <w:szCs w:val="22"/>
          </w:rPr>
          <w:t>1</w:t>
        </w:r>
        <w:r w:rsidRPr="00537338">
          <w:rPr>
            <w:noProof/>
            <w:sz w:val="22"/>
            <w:szCs w:val="22"/>
          </w:rPr>
          <w:fldChar w:fldCharType="end"/>
        </w:r>
      </w:p>
    </w:sdtContent>
  </w:sdt>
  <w:p w14:paraId="2EDC3B78" w14:textId="77777777" w:rsidR="004756DC" w:rsidRDefault="004756DC" w:rsidP="00810E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1C600" w14:textId="77777777" w:rsidR="00D0430C" w:rsidRDefault="00D0430C" w:rsidP="00810E29">
      <w:pPr>
        <w:spacing w:after="0"/>
      </w:pPr>
      <w:r>
        <w:separator/>
      </w:r>
    </w:p>
  </w:footnote>
  <w:footnote w:type="continuationSeparator" w:id="0">
    <w:p w14:paraId="4E4C0A3F" w14:textId="77777777" w:rsidR="00D0430C" w:rsidRDefault="00D0430C" w:rsidP="00810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2262" w14:textId="70FD5076" w:rsidR="004756DC" w:rsidRPr="00810E29" w:rsidRDefault="004756DC" w:rsidP="000C33B5">
    <w:pPr>
      <w:pStyle w:val="Header"/>
      <w:tabs>
        <w:tab w:val="left" w:pos="3119"/>
      </w:tabs>
      <w:jc w:val="right"/>
      <w:rPr>
        <w:rFonts w:ascii="Ebrima" w:hAnsi="Ebrima"/>
        <w:sz w:val="18"/>
        <w:szCs w:val="18"/>
        <w:lang w:val="en-GB"/>
      </w:rPr>
    </w:pPr>
    <w:r w:rsidRPr="000C33B5">
      <w:rPr>
        <w:rFonts w:ascii="Ebrima" w:hAnsi="Ebrima"/>
        <w:sz w:val="18"/>
        <w:szCs w:val="18"/>
        <w:lang w:val="en-GB"/>
      </w:rPr>
      <w:t>FUDMA Journal of Business Management (FJBM)</w:t>
    </w:r>
    <w:r w:rsidRPr="000C33B5">
      <w:rPr>
        <w:rFonts w:ascii="Ebrima" w:hAnsi="Ebrima"/>
        <w:b/>
        <w:sz w:val="18"/>
        <w:szCs w:val="18"/>
      </w:rPr>
      <w:t xml:space="preserve"> </w:t>
    </w:r>
    <w:r>
      <w:rPr>
        <w:rFonts w:ascii="Ebrima" w:hAnsi="Ebrima"/>
        <w:b/>
        <w:sz w:val="18"/>
        <w:szCs w:val="18"/>
      </w:rPr>
      <w:tab/>
    </w:r>
    <w:r>
      <w:rPr>
        <w:rFonts w:ascii="Ebrima" w:hAnsi="Ebrima"/>
        <w:b/>
        <w:sz w:val="18"/>
        <w:szCs w:val="18"/>
      </w:rPr>
      <w:tab/>
    </w:r>
    <w:r>
      <w:rPr>
        <w:rFonts w:ascii="Ebrima" w:hAnsi="Ebrima"/>
        <w:noProof/>
        <w:sz w:val="18"/>
        <w:szCs w:val="18"/>
      </w:rPr>
      <w:drawing>
        <wp:inline distT="0" distB="0" distL="0" distR="0" wp14:anchorId="31EE9671" wp14:editId="24A7F221">
          <wp:extent cx="381000" cy="351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210" cy="375920"/>
                  </a:xfrm>
                  <a:prstGeom prst="rect">
                    <a:avLst/>
                  </a:prstGeom>
                  <a:noFill/>
                </pic:spPr>
              </pic:pic>
            </a:graphicData>
          </a:graphic>
        </wp:inline>
      </w:drawing>
    </w:r>
  </w:p>
  <w:p w14:paraId="6215C026" w14:textId="3AFFA252" w:rsidR="004756DC" w:rsidRDefault="004756DC">
    <w:pPr>
      <w:pStyle w:val="Header"/>
      <w:rPr>
        <w:rFonts w:ascii="Ebrima" w:hAnsi="Ebrima"/>
        <w:sz w:val="18"/>
        <w:szCs w:val="18"/>
        <w:lang w:val="en-GB"/>
      </w:rPr>
    </w:pPr>
    <w:r>
      <w:rPr>
        <w:rFonts w:ascii="Humnst777 Blk BT" w:hAnsi="Humnst777 Blk BT"/>
        <w:b/>
        <w:noProof/>
        <w:sz w:val="50"/>
      </w:rPr>
      <mc:AlternateContent>
        <mc:Choice Requires="wps">
          <w:drawing>
            <wp:anchor distT="0" distB="0" distL="114300" distR="114300" simplePos="0" relativeHeight="251660288" behindDoc="0" locked="0" layoutInCell="1" allowOverlap="1" wp14:anchorId="30CD6DE8" wp14:editId="47534BE9">
              <wp:simplePos x="0" y="0"/>
              <wp:positionH relativeFrom="column">
                <wp:posOffset>0</wp:posOffset>
              </wp:positionH>
              <wp:positionV relativeFrom="paragraph">
                <wp:posOffset>252730</wp:posOffset>
              </wp:positionV>
              <wp:extent cx="58483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90EBC80"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9pt" to="46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" strokecolor="black [3213]" strokeweight="1.5pt">
              <v:stroke joinstyle="miter"/>
            </v:line>
          </w:pict>
        </mc:Fallback>
      </mc:AlternateContent>
    </w:r>
    <w:r w:rsidRPr="00810E29">
      <w:rPr>
        <w:rFonts w:ascii="Ebrima" w:hAnsi="Ebrima"/>
        <w:sz w:val="18"/>
        <w:szCs w:val="18"/>
        <w:lang w:val="en-GB"/>
      </w:rPr>
      <w:t>Volume</w:t>
    </w:r>
    <w:r w:rsidR="00A81D1A">
      <w:rPr>
        <w:rFonts w:ascii="Ebrima" w:hAnsi="Ebrima"/>
        <w:sz w:val="18"/>
        <w:szCs w:val="18"/>
        <w:lang w:val="en-GB"/>
      </w:rPr>
      <w:t xml:space="preserve"> 4, Apri</w:t>
    </w:r>
    <w:r>
      <w:rPr>
        <w:rFonts w:ascii="Ebrima" w:hAnsi="Ebrima"/>
        <w:sz w:val="18"/>
        <w:szCs w:val="18"/>
        <w:lang w:val="en-GB"/>
      </w:rPr>
      <w:t xml:space="preserve">l Edition, </w:t>
    </w:r>
    <w:r w:rsidR="00A81D1A">
      <w:rPr>
        <w:rFonts w:ascii="Ebrima" w:hAnsi="Ebrima"/>
        <w:sz w:val="18"/>
        <w:szCs w:val="18"/>
        <w:lang w:val="en-GB"/>
      </w:rPr>
      <w:t>2026</w:t>
    </w:r>
    <w:r w:rsidRPr="00810E29">
      <w:rPr>
        <w:rFonts w:ascii="Ebrima" w:hAnsi="Ebrima"/>
        <w:sz w:val="18"/>
        <w:szCs w:val="18"/>
        <w:lang w:val="en-GB"/>
      </w:rPr>
      <w:tab/>
    </w:r>
    <w:r>
      <w:rPr>
        <w:rFonts w:ascii="Ebrima" w:hAnsi="Ebrima"/>
        <w:sz w:val="18"/>
        <w:szCs w:val="18"/>
        <w:lang w:val="en-GB"/>
      </w:rPr>
      <w:tab/>
    </w:r>
    <w:r w:rsidRPr="00810E29">
      <w:rPr>
        <w:rFonts w:ascii="Ebrima" w:hAnsi="Ebrima"/>
        <w:sz w:val="18"/>
        <w:szCs w:val="18"/>
        <w:lang w:val="en-GB"/>
      </w:rPr>
      <w:t>ISSN 2756-3162</w:t>
    </w:r>
  </w:p>
  <w:p w14:paraId="6D7A9095" w14:textId="77777777" w:rsidR="004756DC" w:rsidRPr="00810E29" w:rsidRDefault="004756DC">
    <w:pPr>
      <w:pStyle w:val="Header"/>
      <w:rPr>
        <w:rFonts w:ascii="Ebrima" w:hAnsi="Ebrima"/>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79A89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4"/>
    <w:multiLevelType w:val="multilevel"/>
    <w:tmpl w:val="CEE002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8C22377"/>
    <w:multiLevelType w:val="hybridMultilevel"/>
    <w:tmpl w:val="0AF4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D15"/>
    <w:multiLevelType w:val="multilevel"/>
    <w:tmpl w:val="536A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D08"/>
    <w:multiLevelType w:val="multilevel"/>
    <w:tmpl w:val="4AF0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F374B"/>
    <w:multiLevelType w:val="multilevel"/>
    <w:tmpl w:val="FFA284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8F063A2"/>
    <w:multiLevelType w:val="multilevel"/>
    <w:tmpl w:val="1A7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50645"/>
    <w:multiLevelType w:val="hybridMultilevel"/>
    <w:tmpl w:val="62CEF976"/>
    <w:lvl w:ilvl="0" w:tplc="758616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F3D35"/>
    <w:multiLevelType w:val="hybridMultilevel"/>
    <w:tmpl w:val="CB5E6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62AD"/>
    <w:multiLevelType w:val="multilevel"/>
    <w:tmpl w:val="B73E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C5C47"/>
    <w:multiLevelType w:val="hybridMultilevel"/>
    <w:tmpl w:val="93D2501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8315BD9"/>
    <w:multiLevelType w:val="multilevel"/>
    <w:tmpl w:val="97F4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A5357"/>
    <w:multiLevelType w:val="multilevel"/>
    <w:tmpl w:val="F9DC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4108C"/>
    <w:multiLevelType w:val="hybridMultilevel"/>
    <w:tmpl w:val="BE50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95E7D"/>
    <w:multiLevelType w:val="hybridMultilevel"/>
    <w:tmpl w:val="18A85A7A"/>
    <w:lvl w:ilvl="0" w:tplc="4956E7A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169E8"/>
    <w:multiLevelType w:val="hybridMultilevel"/>
    <w:tmpl w:val="3FB8C3E4"/>
    <w:lvl w:ilvl="0" w:tplc="9A1ED54C">
      <w:start w:val="1"/>
      <w:numFmt w:val="lowerRoman"/>
      <w:lvlText w:val="%1."/>
      <w:lvlJc w:val="left"/>
      <w:pPr>
        <w:ind w:left="1080" w:hanging="720"/>
      </w:pPr>
      <w:rPr>
        <w:rFonts w:eastAsia="Times New Roman" w:hint="default"/>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56A8B"/>
    <w:multiLevelType w:val="multilevel"/>
    <w:tmpl w:val="4AF0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54666A"/>
    <w:multiLevelType w:val="hybridMultilevel"/>
    <w:tmpl w:val="C7EE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32DAA"/>
    <w:multiLevelType w:val="multilevel"/>
    <w:tmpl w:val="053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A70FA"/>
    <w:multiLevelType w:val="multilevel"/>
    <w:tmpl w:val="EF7ACB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F763DF"/>
    <w:multiLevelType w:val="hybridMultilevel"/>
    <w:tmpl w:val="21287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17992"/>
    <w:multiLevelType w:val="hybridMultilevel"/>
    <w:tmpl w:val="8EF6E65A"/>
    <w:lvl w:ilvl="0" w:tplc="F64A250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F0AC6"/>
    <w:multiLevelType w:val="hybridMultilevel"/>
    <w:tmpl w:val="4756100A"/>
    <w:lvl w:ilvl="0" w:tplc="A4CEE4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63916"/>
    <w:multiLevelType w:val="multilevel"/>
    <w:tmpl w:val="0DDAC9D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
  </w:num>
  <w:num w:numId="3">
    <w:abstractNumId w:val="0"/>
  </w:num>
  <w:num w:numId="4">
    <w:abstractNumId w:val="3"/>
  </w:num>
  <w:num w:numId="5">
    <w:abstractNumId w:val="20"/>
  </w:num>
  <w:num w:numId="6">
    <w:abstractNumId w:val="7"/>
  </w:num>
  <w:num w:numId="7">
    <w:abstractNumId w:val="8"/>
  </w:num>
  <w:num w:numId="8">
    <w:abstractNumId w:val="21"/>
  </w:num>
  <w:num w:numId="9">
    <w:abstractNumId w:val="2"/>
  </w:num>
  <w:num w:numId="10">
    <w:abstractNumId w:val="13"/>
  </w:num>
  <w:num w:numId="11">
    <w:abstractNumId w:val="17"/>
  </w:num>
  <w:num w:numId="12">
    <w:abstractNumId w:val="12"/>
  </w:num>
  <w:num w:numId="13">
    <w:abstractNumId w:val="14"/>
  </w:num>
  <w:num w:numId="14">
    <w:abstractNumId w:val="2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0"/>
  </w:num>
  <w:num w:numId="19">
    <w:abstractNumId w:val="11"/>
  </w:num>
  <w:num w:numId="20">
    <w:abstractNumId w:val="6"/>
  </w:num>
  <w:num w:numId="21">
    <w:abstractNumId w:val="18"/>
  </w:num>
  <w:num w:numId="22">
    <w:abstractNumId w:val="22"/>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29"/>
    <w:rsid w:val="0001120A"/>
    <w:rsid w:val="000125AA"/>
    <w:rsid w:val="000330B3"/>
    <w:rsid w:val="000371F3"/>
    <w:rsid w:val="00064811"/>
    <w:rsid w:val="000A0AFD"/>
    <w:rsid w:val="000A1284"/>
    <w:rsid w:val="000C33B5"/>
    <w:rsid w:val="000E454B"/>
    <w:rsid w:val="000E48F8"/>
    <w:rsid w:val="000F28D4"/>
    <w:rsid w:val="001064D2"/>
    <w:rsid w:val="00145052"/>
    <w:rsid w:val="001752C8"/>
    <w:rsid w:val="001F7AA9"/>
    <w:rsid w:val="00227C0E"/>
    <w:rsid w:val="00236194"/>
    <w:rsid w:val="00276E7F"/>
    <w:rsid w:val="00280439"/>
    <w:rsid w:val="002840F6"/>
    <w:rsid w:val="00285D22"/>
    <w:rsid w:val="002B18FA"/>
    <w:rsid w:val="002B1D8E"/>
    <w:rsid w:val="002C041A"/>
    <w:rsid w:val="002F51C9"/>
    <w:rsid w:val="002F6E20"/>
    <w:rsid w:val="00300A08"/>
    <w:rsid w:val="003062D6"/>
    <w:rsid w:val="00306DED"/>
    <w:rsid w:val="003074A8"/>
    <w:rsid w:val="00312BE5"/>
    <w:rsid w:val="00332ADE"/>
    <w:rsid w:val="00335CBF"/>
    <w:rsid w:val="00367444"/>
    <w:rsid w:val="00385108"/>
    <w:rsid w:val="00387932"/>
    <w:rsid w:val="003909CC"/>
    <w:rsid w:val="003B1B87"/>
    <w:rsid w:val="003E47AB"/>
    <w:rsid w:val="00440B82"/>
    <w:rsid w:val="004756DC"/>
    <w:rsid w:val="00482758"/>
    <w:rsid w:val="0049506C"/>
    <w:rsid w:val="004A2828"/>
    <w:rsid w:val="004C1B69"/>
    <w:rsid w:val="004D2FDE"/>
    <w:rsid w:val="004E61A9"/>
    <w:rsid w:val="004F2C70"/>
    <w:rsid w:val="005341CC"/>
    <w:rsid w:val="00547C40"/>
    <w:rsid w:val="00552F65"/>
    <w:rsid w:val="00574358"/>
    <w:rsid w:val="00585B43"/>
    <w:rsid w:val="005A2759"/>
    <w:rsid w:val="005B4A01"/>
    <w:rsid w:val="005D3C51"/>
    <w:rsid w:val="006B1B6F"/>
    <w:rsid w:val="006C306A"/>
    <w:rsid w:val="006D4136"/>
    <w:rsid w:val="006F0D99"/>
    <w:rsid w:val="00714322"/>
    <w:rsid w:val="00797107"/>
    <w:rsid w:val="00810E29"/>
    <w:rsid w:val="00813B58"/>
    <w:rsid w:val="0083192D"/>
    <w:rsid w:val="00835FA0"/>
    <w:rsid w:val="008543C3"/>
    <w:rsid w:val="00861B11"/>
    <w:rsid w:val="00864060"/>
    <w:rsid w:val="008700C9"/>
    <w:rsid w:val="008A36B4"/>
    <w:rsid w:val="008B64FF"/>
    <w:rsid w:val="008D59C2"/>
    <w:rsid w:val="008E76D4"/>
    <w:rsid w:val="0091050F"/>
    <w:rsid w:val="0091086D"/>
    <w:rsid w:val="009178F4"/>
    <w:rsid w:val="009352B9"/>
    <w:rsid w:val="009920EE"/>
    <w:rsid w:val="009B035E"/>
    <w:rsid w:val="009D0CA4"/>
    <w:rsid w:val="00A1556B"/>
    <w:rsid w:val="00A22A8D"/>
    <w:rsid w:val="00A35B82"/>
    <w:rsid w:val="00A4057A"/>
    <w:rsid w:val="00A81D1A"/>
    <w:rsid w:val="00AA49EA"/>
    <w:rsid w:val="00AB1FDB"/>
    <w:rsid w:val="00AB209C"/>
    <w:rsid w:val="00AB4509"/>
    <w:rsid w:val="00AC5414"/>
    <w:rsid w:val="00B34576"/>
    <w:rsid w:val="00B70711"/>
    <w:rsid w:val="00B71261"/>
    <w:rsid w:val="00B97E22"/>
    <w:rsid w:val="00BA3BFF"/>
    <w:rsid w:val="00BB0240"/>
    <w:rsid w:val="00BB2891"/>
    <w:rsid w:val="00BC0309"/>
    <w:rsid w:val="00BE3CDA"/>
    <w:rsid w:val="00C52098"/>
    <w:rsid w:val="00C53A9A"/>
    <w:rsid w:val="00C66D1F"/>
    <w:rsid w:val="00C942A5"/>
    <w:rsid w:val="00CD5652"/>
    <w:rsid w:val="00CE17AD"/>
    <w:rsid w:val="00CE3E2A"/>
    <w:rsid w:val="00CE47E7"/>
    <w:rsid w:val="00CF18CD"/>
    <w:rsid w:val="00D0430C"/>
    <w:rsid w:val="00D07E50"/>
    <w:rsid w:val="00D32592"/>
    <w:rsid w:val="00D47A5B"/>
    <w:rsid w:val="00D97937"/>
    <w:rsid w:val="00DD4816"/>
    <w:rsid w:val="00E00DBA"/>
    <w:rsid w:val="00E25C87"/>
    <w:rsid w:val="00E41D03"/>
    <w:rsid w:val="00E56313"/>
    <w:rsid w:val="00EB4D3E"/>
    <w:rsid w:val="00EC6B8A"/>
    <w:rsid w:val="00ED25DD"/>
    <w:rsid w:val="00EF6A1B"/>
    <w:rsid w:val="00F06D61"/>
    <w:rsid w:val="00F344C6"/>
    <w:rsid w:val="00F66015"/>
    <w:rsid w:val="00FC590A"/>
    <w:rsid w:val="00FE2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5321"/>
  <w15:chartTrackingRefBased/>
  <w15:docId w15:val="{9FD849ED-F778-4A45-BA9C-94E040B6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E29"/>
    <w:pPr>
      <w:spacing w:after="120" w:line="240" w:lineRule="auto"/>
      <w:jc w:val="both"/>
    </w:pPr>
    <w:rPr>
      <w:rFonts w:ascii="Times New Roman" w:hAnsi="Times New Roman"/>
      <w:sz w:val="24"/>
      <w:szCs w:val="24"/>
      <w14:ligatures w14:val="none"/>
    </w:rPr>
  </w:style>
  <w:style w:type="paragraph" w:styleId="Heading1">
    <w:name w:val="heading 1"/>
    <w:basedOn w:val="Normal"/>
    <w:next w:val="Normal"/>
    <w:link w:val="Heading1Char"/>
    <w:uiPriority w:val="9"/>
    <w:qFormat/>
    <w:rsid w:val="0081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E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E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E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E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E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29"/>
    <w:rPr>
      <w:rFonts w:eastAsiaTheme="majorEastAsia" w:cstheme="majorBidi"/>
      <w:color w:val="272727" w:themeColor="text1" w:themeTint="D8"/>
    </w:rPr>
  </w:style>
  <w:style w:type="paragraph" w:styleId="Title">
    <w:name w:val="Title"/>
    <w:basedOn w:val="Normal"/>
    <w:next w:val="Normal"/>
    <w:link w:val="TitleChar"/>
    <w:uiPriority w:val="10"/>
    <w:qFormat/>
    <w:rsid w:val="00810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29"/>
    <w:pPr>
      <w:spacing w:before="160"/>
      <w:jc w:val="center"/>
    </w:pPr>
    <w:rPr>
      <w:i/>
      <w:iCs/>
      <w:color w:val="404040" w:themeColor="text1" w:themeTint="BF"/>
    </w:rPr>
  </w:style>
  <w:style w:type="character" w:customStyle="1" w:styleId="QuoteChar">
    <w:name w:val="Quote Char"/>
    <w:basedOn w:val="DefaultParagraphFont"/>
    <w:link w:val="Quote"/>
    <w:uiPriority w:val="29"/>
    <w:rsid w:val="00810E29"/>
    <w:rPr>
      <w:i/>
      <w:iCs/>
      <w:color w:val="404040" w:themeColor="text1" w:themeTint="BF"/>
    </w:rPr>
  </w:style>
  <w:style w:type="paragraph" w:styleId="ListParagraph">
    <w:name w:val="List Paragraph"/>
    <w:basedOn w:val="Normal"/>
    <w:uiPriority w:val="34"/>
    <w:qFormat/>
    <w:rsid w:val="00810E29"/>
    <w:pPr>
      <w:ind w:left="720"/>
      <w:contextualSpacing/>
    </w:pPr>
  </w:style>
  <w:style w:type="character" w:styleId="IntenseEmphasis">
    <w:name w:val="Intense Emphasis"/>
    <w:basedOn w:val="DefaultParagraphFont"/>
    <w:uiPriority w:val="21"/>
    <w:qFormat/>
    <w:rsid w:val="00810E29"/>
    <w:rPr>
      <w:i/>
      <w:iCs/>
      <w:color w:val="2F5496" w:themeColor="accent1" w:themeShade="BF"/>
    </w:rPr>
  </w:style>
  <w:style w:type="paragraph" w:styleId="IntenseQuote">
    <w:name w:val="Intense Quote"/>
    <w:basedOn w:val="Normal"/>
    <w:next w:val="Normal"/>
    <w:link w:val="IntenseQuoteChar"/>
    <w:uiPriority w:val="30"/>
    <w:qFormat/>
    <w:rsid w:val="0081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E29"/>
    <w:rPr>
      <w:i/>
      <w:iCs/>
      <w:color w:val="2F5496" w:themeColor="accent1" w:themeShade="BF"/>
    </w:rPr>
  </w:style>
  <w:style w:type="character" w:styleId="IntenseReference">
    <w:name w:val="Intense Reference"/>
    <w:basedOn w:val="DefaultParagraphFont"/>
    <w:uiPriority w:val="32"/>
    <w:qFormat/>
    <w:rsid w:val="00810E29"/>
    <w:rPr>
      <w:b/>
      <w:bCs/>
      <w:smallCaps/>
      <w:color w:val="2F5496" w:themeColor="accent1" w:themeShade="BF"/>
      <w:spacing w:val="5"/>
    </w:rPr>
  </w:style>
  <w:style w:type="character" w:styleId="Hyperlink">
    <w:name w:val="Hyperlink"/>
    <w:basedOn w:val="DefaultParagraphFont"/>
    <w:uiPriority w:val="99"/>
    <w:unhideWhenUsed/>
    <w:qFormat/>
    <w:rsid w:val="00810E29"/>
    <w:rPr>
      <w:color w:val="0563C1" w:themeColor="hyperlink"/>
      <w:u w:val="single"/>
    </w:rPr>
  </w:style>
  <w:style w:type="paragraph" w:styleId="BodyText">
    <w:name w:val="Body Text"/>
    <w:basedOn w:val="Normal"/>
    <w:link w:val="BodyTextChar"/>
    <w:uiPriority w:val="99"/>
    <w:qFormat/>
    <w:rsid w:val="00810E29"/>
    <w:pPr>
      <w:widowControl w:val="0"/>
      <w:pBdr>
        <w:top w:val="single" w:sz="12" w:space="1" w:color="auto"/>
        <w:bottom w:val="single" w:sz="12" w:space="1" w:color="auto"/>
      </w:pBdr>
      <w:suppressAutoHyphens/>
      <w:autoSpaceDE w:val="0"/>
      <w:autoSpaceDN w:val="0"/>
      <w:spacing w:before="120" w:after="0"/>
      <w:ind w:left="138"/>
      <w:textAlignment w:val="baseline"/>
    </w:pPr>
    <w:rPr>
      <w:rFonts w:eastAsia="Times New Roman" w:cs="Times New Roman"/>
      <w:i/>
      <w:kern w:val="0"/>
    </w:rPr>
  </w:style>
  <w:style w:type="character" w:customStyle="1" w:styleId="BodyTextChar">
    <w:name w:val="Body Text Char"/>
    <w:basedOn w:val="DefaultParagraphFont"/>
    <w:link w:val="BodyText"/>
    <w:uiPriority w:val="99"/>
    <w:rsid w:val="00810E29"/>
    <w:rPr>
      <w:rFonts w:ascii="Times New Roman" w:eastAsia="Times New Roman" w:hAnsi="Times New Roman" w:cs="Times New Roman"/>
      <w:i/>
      <w:kern w:val="0"/>
      <w:sz w:val="24"/>
      <w:szCs w:val="24"/>
      <w:lang w:val="en-US"/>
      <w14:ligatures w14:val="none"/>
    </w:rPr>
  </w:style>
  <w:style w:type="paragraph" w:styleId="Header">
    <w:name w:val="header"/>
    <w:basedOn w:val="Normal"/>
    <w:link w:val="HeaderChar"/>
    <w:uiPriority w:val="99"/>
    <w:unhideWhenUsed/>
    <w:rsid w:val="00810E29"/>
    <w:pPr>
      <w:tabs>
        <w:tab w:val="center" w:pos="4513"/>
        <w:tab w:val="right" w:pos="9026"/>
      </w:tabs>
      <w:spacing w:after="0"/>
    </w:pPr>
  </w:style>
  <w:style w:type="character" w:customStyle="1" w:styleId="HeaderChar">
    <w:name w:val="Header Char"/>
    <w:basedOn w:val="DefaultParagraphFont"/>
    <w:link w:val="Header"/>
    <w:uiPriority w:val="99"/>
    <w:rsid w:val="00810E29"/>
    <w:rPr>
      <w:rFonts w:ascii="Times New Roman" w:hAnsi="Times New Roman"/>
      <w:sz w:val="24"/>
      <w:szCs w:val="24"/>
      <w:lang w:val="en-US"/>
      <w14:ligatures w14:val="none"/>
    </w:rPr>
  </w:style>
  <w:style w:type="paragraph" w:styleId="Footer">
    <w:name w:val="footer"/>
    <w:basedOn w:val="Normal"/>
    <w:link w:val="FooterChar"/>
    <w:uiPriority w:val="99"/>
    <w:unhideWhenUsed/>
    <w:qFormat/>
    <w:rsid w:val="00810E29"/>
    <w:pPr>
      <w:tabs>
        <w:tab w:val="center" w:pos="4513"/>
        <w:tab w:val="right" w:pos="9026"/>
      </w:tabs>
      <w:spacing w:after="0"/>
    </w:pPr>
  </w:style>
  <w:style w:type="character" w:customStyle="1" w:styleId="FooterChar">
    <w:name w:val="Footer Char"/>
    <w:basedOn w:val="DefaultParagraphFont"/>
    <w:link w:val="Footer"/>
    <w:uiPriority w:val="99"/>
    <w:qFormat/>
    <w:rsid w:val="00810E29"/>
    <w:rPr>
      <w:rFonts w:ascii="Times New Roman" w:hAnsi="Times New Roman"/>
      <w:sz w:val="24"/>
      <w:szCs w:val="24"/>
      <w:lang w:val="en-US"/>
      <w14:ligatures w14:val="none"/>
    </w:rPr>
  </w:style>
  <w:style w:type="table" w:styleId="TableGrid">
    <w:name w:val="Table Grid"/>
    <w:basedOn w:val="TableNormal"/>
    <w:uiPriority w:val="39"/>
    <w:rsid w:val="0083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D59C2"/>
    <w:pPr>
      <w:autoSpaceDE w:val="0"/>
      <w:autoSpaceDN w:val="0"/>
      <w:adjustRightInd w:val="0"/>
      <w:spacing w:after="120" w:line="240" w:lineRule="auto"/>
    </w:pPr>
    <w:rPr>
      <w:rFonts w:ascii="Times New Roman" w:hAnsi="Times New Roman" w:cs="Times New Roman"/>
      <w:color w:val="000000"/>
      <w:kern w:val="0"/>
      <w:szCs w:val="24"/>
      <w14:ligatures w14:val="none"/>
    </w:rPr>
  </w:style>
  <w:style w:type="paragraph" w:styleId="NormalWeb">
    <w:name w:val="Normal (Web)"/>
    <w:basedOn w:val="Normal"/>
    <w:uiPriority w:val="99"/>
    <w:semiHidden/>
    <w:unhideWhenUsed/>
    <w:rsid w:val="00C53A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iauduga@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jjanizainab@gsu.edu.ng" TargetMode="External"/><Relationship Id="rId12" Type="http://schemas.openxmlformats.org/officeDocument/2006/relationships/hyperlink" Target="https://www.reportlinker.com/market-report/Environmental-Services/514390/Green-Produ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portlinker.com/market-report/Environmental-Services/514390/Green-Produ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constor.eu/bitstream/10419/236567/1/dp272007.pdf" TargetMode="External"/><Relationship Id="rId4" Type="http://schemas.openxmlformats.org/officeDocument/2006/relationships/webSettings" Target="webSettings.xml"/><Relationship Id="rId9" Type="http://schemas.openxmlformats.org/officeDocument/2006/relationships/hyperlink" Target="mailto:pbogoro@atbu.edu.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SPUNKY</cp:lastModifiedBy>
  <cp:revision>3</cp:revision>
  <dcterms:created xsi:type="dcterms:W3CDTF">2026-05-19T12:41:00Z</dcterms:created>
  <dcterms:modified xsi:type="dcterms:W3CDTF">2026-05-20T15:40:00Z</dcterms:modified>
</cp:coreProperties>
</file>